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447" w:right="2326" w:firstLine="0"/>
        <w:jc w:val="center"/>
        <w:rPr>
          <w:b/>
          <w:sz w:val="24"/>
        </w:rPr>
      </w:pPr>
      <w:r>
        <w:rPr>
          <w:b/>
          <w:sz w:val="24"/>
        </w:rPr>
        <w:t>THE UNIVERSITY OF MAINE AT AUGUSTA</w:t>
      </w:r>
    </w:p>
    <w:p>
      <w:pPr>
        <w:pStyle w:val="BodyText"/>
        <w:spacing w:before="227"/>
        <w:ind w:left="2442" w:right="2326"/>
        <w:jc w:val="center"/>
      </w:pPr>
      <w:r>
        <w:rPr/>
        <w:t>Policy and Procedures</w:t>
      </w:r>
    </w:p>
    <w:p>
      <w:pPr>
        <w:pStyle w:val="BodyText"/>
        <w:rPr>
          <w:sz w:val="22"/>
        </w:rPr>
      </w:pPr>
    </w:p>
    <w:p>
      <w:pPr>
        <w:pStyle w:val="BodyText"/>
        <w:spacing w:before="1"/>
        <w:rPr>
          <w:sz w:val="18"/>
        </w:rPr>
      </w:pPr>
    </w:p>
    <w:p>
      <w:pPr>
        <w:pStyle w:val="BodyText"/>
        <w:ind w:left="220"/>
      </w:pPr>
      <w:r>
        <w:rPr/>
        <w:t>SUBJECT: FACILITIES, GROUNDS AND SECURITY</w:t>
      </w:r>
    </w:p>
    <w:p>
      <w:pPr>
        <w:pStyle w:val="BodyText"/>
        <w:spacing w:before="1"/>
      </w:pPr>
    </w:p>
    <w:p>
      <w:pPr>
        <w:pStyle w:val="BodyText"/>
        <w:tabs>
          <w:tab w:pos="1300" w:val="left" w:leader="none"/>
          <w:tab w:pos="5981" w:val="left" w:leader="none"/>
        </w:tabs>
        <w:ind w:left="220"/>
      </w:pPr>
      <w:r>
        <w:rPr/>
        <w:t>Section:</w:t>
        <w:tab/>
        <w:t>361</w:t>
      </w:r>
      <w:r>
        <w:rPr>
          <w:spacing w:val="-2"/>
        </w:rPr>
        <w:t> </w:t>
      </w:r>
      <w:r>
        <w:rPr/>
        <w:t>Conference</w:t>
      </w:r>
      <w:r>
        <w:rPr>
          <w:spacing w:val="-2"/>
        </w:rPr>
        <w:t> </w:t>
      </w:r>
      <w:r>
        <w:rPr/>
        <w:t>Rooms</w:t>
        <w:tab/>
        <w:t>Effective:   June 30,</w:t>
      </w:r>
      <w:r>
        <w:rPr>
          <w:spacing w:val="-7"/>
        </w:rPr>
        <w:t> </w:t>
      </w:r>
      <w:r>
        <w:rPr/>
        <w:t>1989</w:t>
      </w:r>
    </w:p>
    <w:p>
      <w:pPr>
        <w:pStyle w:val="BodyText"/>
        <w:spacing w:before="10"/>
        <w:rPr>
          <w:sz w:val="19"/>
        </w:rPr>
      </w:pPr>
    </w:p>
    <w:p>
      <w:pPr>
        <w:pStyle w:val="BodyText"/>
        <w:tabs>
          <w:tab w:pos="1330" w:val="left" w:leader="none"/>
          <w:tab w:pos="5981" w:val="left" w:leader="none"/>
          <w:tab w:pos="6979" w:val="left" w:leader="none"/>
        </w:tabs>
        <w:ind w:left="220"/>
      </w:pPr>
      <w:r>
        <w:rPr/>
        <w:t>Action:</w:t>
        <w:tab/>
        <w:t>President's Staff</w:t>
        <w:tab/>
        <w:t>Revised:</w:t>
        <w:tab/>
        <w:t>March 5,</w:t>
      </w:r>
      <w:r>
        <w:rPr>
          <w:spacing w:val="-4"/>
        </w:rPr>
        <w:t> </w:t>
      </w:r>
      <w:r>
        <w:rPr/>
        <w:t>2015</w:t>
      </w:r>
    </w:p>
    <w:p>
      <w:pPr>
        <w:pStyle w:val="BodyText"/>
        <w:rPr>
          <w:sz w:val="19"/>
        </w:rPr>
      </w:pPr>
      <w:r>
        <w:rPr/>
        <w:pict>
          <v:line style="position:absolute;mso-position-horizontal-relative:page;mso-position-vertical-relative:paragraph;z-index:-1024;mso-wrap-distance-left:0;mso-wrap-distance-right:0" from="71.25pt,14.033936pt" to="486.75pt,13.283936pt" stroked="true" strokeweight=".75pt" strokecolor="#000000">
            <v:stroke dashstyle="solid"/>
            <w10:wrap type="topAndBottom"/>
          </v:line>
        </w:pict>
      </w:r>
    </w:p>
    <w:p>
      <w:pPr>
        <w:pStyle w:val="BodyText"/>
        <w:rPr>
          <w:sz w:val="22"/>
        </w:rPr>
      </w:pPr>
    </w:p>
    <w:p>
      <w:pPr>
        <w:pStyle w:val="ListParagraph"/>
        <w:numPr>
          <w:ilvl w:val="0"/>
          <w:numId w:val="1"/>
        </w:numPr>
        <w:tabs>
          <w:tab w:pos="940" w:val="left" w:leader="none"/>
          <w:tab w:pos="941" w:val="left" w:leader="none"/>
        </w:tabs>
        <w:spacing w:line="240" w:lineRule="auto" w:before="170" w:after="0"/>
        <w:ind w:left="940" w:right="0" w:hanging="470"/>
        <w:jc w:val="left"/>
        <w:rPr>
          <w:sz w:val="20"/>
        </w:rPr>
      </w:pPr>
      <w:r>
        <w:rPr>
          <w:sz w:val="20"/>
        </w:rPr>
        <w:t>PURPOSE</w:t>
      </w:r>
    </w:p>
    <w:p>
      <w:pPr>
        <w:pStyle w:val="BodyText"/>
        <w:spacing w:before="9"/>
        <w:rPr>
          <w:sz w:val="19"/>
        </w:rPr>
      </w:pPr>
    </w:p>
    <w:p>
      <w:pPr>
        <w:pStyle w:val="BodyText"/>
        <w:ind w:left="940" w:right="426"/>
      </w:pPr>
      <w:r>
        <w:rPr/>
        <w:t>Provides guidelines for use of The University of Maine at Augusta facilities at the Augusta and Bangor campus locations.</w:t>
      </w:r>
    </w:p>
    <w:p>
      <w:pPr>
        <w:pStyle w:val="BodyText"/>
        <w:spacing w:before="2"/>
      </w:pPr>
    </w:p>
    <w:p>
      <w:pPr>
        <w:pStyle w:val="ListParagraph"/>
        <w:numPr>
          <w:ilvl w:val="0"/>
          <w:numId w:val="1"/>
        </w:numPr>
        <w:tabs>
          <w:tab w:pos="940" w:val="left" w:leader="none"/>
          <w:tab w:pos="941" w:val="left" w:leader="none"/>
        </w:tabs>
        <w:spacing w:line="240" w:lineRule="auto" w:before="0" w:after="0"/>
        <w:ind w:left="940" w:right="0" w:hanging="526"/>
        <w:jc w:val="left"/>
        <w:rPr>
          <w:sz w:val="20"/>
        </w:rPr>
      </w:pPr>
      <w:r>
        <w:rPr>
          <w:sz w:val="20"/>
        </w:rPr>
        <w:t>POLICY</w:t>
      </w:r>
    </w:p>
    <w:p>
      <w:pPr>
        <w:pStyle w:val="BodyText"/>
        <w:spacing w:before="3"/>
      </w:pPr>
    </w:p>
    <w:p>
      <w:pPr>
        <w:pStyle w:val="BodyText"/>
        <w:spacing w:line="276" w:lineRule="auto"/>
        <w:ind w:left="940"/>
      </w:pPr>
      <w:r>
        <w:rPr/>
        <w:t>The University of Maine at Augusta welcomes the opportunity to make its facilities available to the citizens of Maine for meetings and other events that do not interfere with the regular programs of the University. Because of very limited space, the University is only able to accommodate non- University groups and organizations on a limited basis.</w:t>
      </w:r>
    </w:p>
    <w:p>
      <w:pPr>
        <w:pStyle w:val="BodyText"/>
        <w:spacing w:before="4"/>
        <w:rPr>
          <w:sz w:val="17"/>
        </w:rPr>
      </w:pPr>
    </w:p>
    <w:p>
      <w:pPr>
        <w:pStyle w:val="BodyText"/>
        <w:spacing w:line="276" w:lineRule="auto"/>
        <w:ind w:left="940" w:right="460"/>
      </w:pPr>
      <w:r>
        <w:rPr/>
        <w:t>Access to University facilities by a non-profit agency or organization for a meeting open to the public or for a public educational purpose that is consistent with the University’s mission is permitted. Such events are subject to room use fees for Non-Profit organizations.</w:t>
      </w:r>
    </w:p>
    <w:p>
      <w:pPr>
        <w:pStyle w:val="BodyText"/>
        <w:spacing w:before="5"/>
        <w:rPr>
          <w:sz w:val="17"/>
        </w:rPr>
      </w:pPr>
    </w:p>
    <w:p>
      <w:pPr>
        <w:pStyle w:val="BodyText"/>
        <w:spacing w:line="276" w:lineRule="auto"/>
        <w:ind w:left="940" w:right="261"/>
      </w:pPr>
      <w:r>
        <w:rPr/>
        <w:t>Use of University facilities for purely commercial activities, political or fund-raising activities for a particular candidate, or activities inconsistent with the University’s mission are permitted on a case by case basis. Such use is subject to room use fees for For-Profit organizations.</w:t>
      </w:r>
    </w:p>
    <w:p>
      <w:pPr>
        <w:pStyle w:val="BodyText"/>
        <w:spacing w:before="2"/>
        <w:rPr>
          <w:sz w:val="17"/>
        </w:rPr>
      </w:pPr>
    </w:p>
    <w:p>
      <w:pPr>
        <w:pStyle w:val="ListParagraph"/>
        <w:numPr>
          <w:ilvl w:val="0"/>
          <w:numId w:val="1"/>
        </w:numPr>
        <w:tabs>
          <w:tab w:pos="940" w:val="left" w:leader="none"/>
          <w:tab w:pos="941" w:val="left" w:leader="none"/>
        </w:tabs>
        <w:spacing w:line="240" w:lineRule="auto" w:before="1" w:after="0"/>
        <w:ind w:left="940" w:right="0" w:hanging="583"/>
        <w:jc w:val="left"/>
        <w:rPr>
          <w:sz w:val="20"/>
        </w:rPr>
      </w:pPr>
      <w:r>
        <w:rPr>
          <w:sz w:val="20"/>
        </w:rPr>
        <w:t>PROCEDURE</w:t>
      </w:r>
    </w:p>
    <w:p>
      <w:pPr>
        <w:pStyle w:val="BodyText"/>
      </w:pPr>
    </w:p>
    <w:p>
      <w:pPr>
        <w:pStyle w:val="ListParagraph"/>
        <w:numPr>
          <w:ilvl w:val="1"/>
          <w:numId w:val="1"/>
        </w:numPr>
        <w:tabs>
          <w:tab w:pos="1301" w:val="left" w:leader="none"/>
        </w:tabs>
        <w:spacing w:line="276" w:lineRule="auto" w:before="0" w:after="0"/>
        <w:ind w:left="1300" w:right="162" w:hanging="360"/>
        <w:jc w:val="left"/>
        <w:rPr>
          <w:sz w:val="20"/>
        </w:rPr>
      </w:pPr>
      <w:r>
        <w:rPr>
          <w:sz w:val="20"/>
        </w:rPr>
        <w:t>All room reservations must be made with the Campus Scheduling Coordinator and will be granted on a first-come, first-served basis. No classrooms will be reserved until the academic schedules have been set. The scheduling needs of the University will have priority over the requests of non-University organizations and</w:t>
      </w:r>
      <w:r>
        <w:rPr>
          <w:spacing w:val="-6"/>
          <w:sz w:val="20"/>
        </w:rPr>
        <w:t> </w:t>
      </w:r>
      <w:r>
        <w:rPr>
          <w:sz w:val="20"/>
        </w:rPr>
        <w:t>agencies.</w:t>
      </w:r>
    </w:p>
    <w:p>
      <w:pPr>
        <w:pStyle w:val="BodyText"/>
        <w:spacing w:before="5"/>
        <w:rPr>
          <w:sz w:val="17"/>
        </w:rPr>
      </w:pPr>
    </w:p>
    <w:p>
      <w:pPr>
        <w:pStyle w:val="ListParagraph"/>
        <w:numPr>
          <w:ilvl w:val="1"/>
          <w:numId w:val="1"/>
        </w:numPr>
        <w:tabs>
          <w:tab w:pos="1301" w:val="left" w:leader="none"/>
        </w:tabs>
        <w:spacing w:line="276" w:lineRule="auto" w:before="0" w:after="0"/>
        <w:ind w:left="1300" w:right="480" w:hanging="360"/>
        <w:jc w:val="left"/>
        <w:rPr>
          <w:sz w:val="20"/>
        </w:rPr>
      </w:pPr>
      <w:r>
        <w:rPr>
          <w:sz w:val="20"/>
        </w:rPr>
        <w:t>Rooms are rented “as-is.” Requests for special set-ups, additional tables/chairs, and/or audio-visual equipment will require a 72-hour advance notice and will result in additional charges. Organizations must return the room to the condition it was in when they</w:t>
      </w:r>
      <w:r>
        <w:rPr>
          <w:spacing w:val="-29"/>
          <w:sz w:val="20"/>
        </w:rPr>
        <w:t> </w:t>
      </w:r>
      <w:r>
        <w:rPr>
          <w:sz w:val="20"/>
        </w:rPr>
        <w:t>arrived.</w:t>
      </w:r>
    </w:p>
    <w:p>
      <w:pPr>
        <w:pStyle w:val="BodyText"/>
        <w:spacing w:before="5"/>
        <w:rPr>
          <w:sz w:val="17"/>
        </w:rPr>
      </w:pPr>
    </w:p>
    <w:p>
      <w:pPr>
        <w:pStyle w:val="ListParagraph"/>
        <w:numPr>
          <w:ilvl w:val="1"/>
          <w:numId w:val="1"/>
        </w:numPr>
        <w:tabs>
          <w:tab w:pos="1301" w:val="left" w:leader="none"/>
        </w:tabs>
        <w:spacing w:line="278" w:lineRule="auto" w:before="0" w:after="0"/>
        <w:ind w:left="1300" w:right="535" w:hanging="360"/>
        <w:jc w:val="left"/>
        <w:rPr>
          <w:sz w:val="20"/>
        </w:rPr>
      </w:pPr>
      <w:r>
        <w:rPr>
          <w:sz w:val="20"/>
        </w:rPr>
        <w:t>Alcoholic beverages are prohibited on the UMA Campus unless the Executive Director</w:t>
      </w:r>
      <w:r>
        <w:rPr>
          <w:spacing w:val="-27"/>
          <w:sz w:val="20"/>
        </w:rPr>
        <w:t> </w:t>
      </w:r>
      <w:r>
        <w:rPr>
          <w:sz w:val="20"/>
        </w:rPr>
        <w:t>of Administrative Services and/or the Dean of Students grants prior written</w:t>
      </w:r>
      <w:r>
        <w:rPr>
          <w:spacing w:val="-7"/>
          <w:sz w:val="20"/>
        </w:rPr>
        <w:t> </w:t>
      </w:r>
      <w:r>
        <w:rPr>
          <w:sz w:val="20"/>
        </w:rPr>
        <w:t>approval.</w:t>
      </w:r>
    </w:p>
    <w:p>
      <w:pPr>
        <w:pStyle w:val="BodyText"/>
        <w:spacing w:line="276" w:lineRule="auto"/>
        <w:ind w:left="1300"/>
      </w:pPr>
      <w:r>
        <w:rPr/>
        <w:t>Information pertaining to the University’s procedures regarding alcoholic beverages may be obtained from the Office of Administrative Services.</w:t>
      </w:r>
    </w:p>
    <w:p>
      <w:pPr>
        <w:pStyle w:val="ListParagraph"/>
        <w:numPr>
          <w:ilvl w:val="1"/>
          <w:numId w:val="1"/>
        </w:numPr>
        <w:tabs>
          <w:tab w:pos="1301" w:val="left" w:leader="none"/>
        </w:tabs>
        <w:spacing w:line="276" w:lineRule="auto" w:before="195" w:after="0"/>
        <w:ind w:left="1300" w:right="184" w:hanging="360"/>
        <w:jc w:val="left"/>
        <w:rPr>
          <w:sz w:val="20"/>
        </w:rPr>
      </w:pPr>
      <w:r>
        <w:rPr>
          <w:sz w:val="20"/>
        </w:rPr>
        <w:t>Visitors will be expected to abide by all University policies and procedures, including parking, while on campus. Disruptive behavior, serious breaches of University policy or accepted safety practices may result in removal from the campus. Any damage caused by the outside organization will be paid for by the</w:t>
      </w:r>
      <w:r>
        <w:rPr>
          <w:spacing w:val="-8"/>
          <w:sz w:val="20"/>
        </w:rPr>
        <w:t> </w:t>
      </w:r>
      <w:r>
        <w:rPr>
          <w:sz w:val="20"/>
        </w:rPr>
        <w:t>organization.</w:t>
      </w:r>
    </w:p>
    <w:p>
      <w:pPr>
        <w:spacing w:after="0" w:line="276" w:lineRule="auto"/>
        <w:jc w:val="left"/>
        <w:rPr>
          <w:sz w:val="20"/>
        </w:rPr>
        <w:sectPr>
          <w:type w:val="continuous"/>
          <w:pgSz w:w="12240" w:h="15840"/>
          <w:pgMar w:top="1360" w:bottom="280" w:left="1220" w:right="1340"/>
        </w:sectPr>
      </w:pPr>
    </w:p>
    <w:p>
      <w:pPr>
        <w:pStyle w:val="ListParagraph"/>
        <w:numPr>
          <w:ilvl w:val="1"/>
          <w:numId w:val="1"/>
        </w:numPr>
        <w:tabs>
          <w:tab w:pos="1301" w:val="left" w:leader="none"/>
        </w:tabs>
        <w:spacing w:line="276" w:lineRule="auto" w:before="80" w:after="0"/>
        <w:ind w:left="1300" w:right="137" w:hanging="360"/>
        <w:jc w:val="left"/>
        <w:rPr>
          <w:sz w:val="20"/>
        </w:rPr>
      </w:pPr>
      <w:r>
        <w:rPr>
          <w:sz w:val="20"/>
        </w:rPr>
        <w:t>All non-University groups and organizations are required to provide the University with</w:t>
      </w:r>
      <w:r>
        <w:rPr>
          <w:spacing w:val="-29"/>
          <w:sz w:val="20"/>
        </w:rPr>
        <w:t> </w:t>
      </w:r>
      <w:r>
        <w:rPr>
          <w:sz w:val="20"/>
        </w:rPr>
        <w:t>written proof of at least $1,000,000 liability insurance prior to obtaining approval to use University facilities. A Certificate of Insurance must be received by the University Campus Scheduling Coordinator and must list the University as “additional insured” at least ten working days prior to the scheduled event. Failure to submit the Certificate of Insurance will result in the cancellation of the reservation and access to the facility will be</w:t>
      </w:r>
      <w:r>
        <w:rPr>
          <w:spacing w:val="-8"/>
          <w:sz w:val="20"/>
        </w:rPr>
        <w:t> </w:t>
      </w:r>
      <w:r>
        <w:rPr>
          <w:sz w:val="20"/>
        </w:rPr>
        <w:t>denied.</w:t>
      </w:r>
    </w:p>
    <w:p>
      <w:pPr>
        <w:pStyle w:val="BodyText"/>
        <w:spacing w:before="5"/>
        <w:rPr>
          <w:sz w:val="17"/>
        </w:rPr>
      </w:pPr>
    </w:p>
    <w:p>
      <w:pPr>
        <w:pStyle w:val="ListParagraph"/>
        <w:numPr>
          <w:ilvl w:val="1"/>
          <w:numId w:val="1"/>
        </w:numPr>
        <w:tabs>
          <w:tab w:pos="1301" w:val="left" w:leader="none"/>
        </w:tabs>
        <w:spacing w:line="276" w:lineRule="auto" w:before="0" w:after="0"/>
        <w:ind w:left="1300" w:right="179" w:hanging="360"/>
        <w:jc w:val="left"/>
        <w:rPr>
          <w:sz w:val="20"/>
        </w:rPr>
      </w:pPr>
      <w:r>
        <w:rPr>
          <w:sz w:val="20"/>
        </w:rPr>
        <w:t>Campus phones (local calls only) are available in most major buildings. The University is not able to provide outside organizations with access to photocopiers, fax machines, telephone/message-taking services, assistance with room setups, or other related services. Groups should plan</w:t>
      </w:r>
      <w:r>
        <w:rPr>
          <w:spacing w:val="-1"/>
          <w:sz w:val="20"/>
        </w:rPr>
        <w:t> </w:t>
      </w:r>
      <w:r>
        <w:rPr>
          <w:sz w:val="20"/>
        </w:rPr>
        <w:t>accordingly.</w:t>
      </w:r>
    </w:p>
    <w:p>
      <w:pPr>
        <w:pStyle w:val="BodyText"/>
        <w:spacing w:before="4"/>
        <w:rPr>
          <w:sz w:val="17"/>
        </w:rPr>
      </w:pPr>
    </w:p>
    <w:p>
      <w:pPr>
        <w:pStyle w:val="ListParagraph"/>
        <w:numPr>
          <w:ilvl w:val="1"/>
          <w:numId w:val="1"/>
        </w:numPr>
        <w:tabs>
          <w:tab w:pos="1301" w:val="left" w:leader="none"/>
        </w:tabs>
        <w:spacing w:line="276" w:lineRule="auto" w:before="1" w:after="0"/>
        <w:ind w:left="1300" w:right="176" w:hanging="360"/>
        <w:jc w:val="left"/>
        <w:rPr>
          <w:sz w:val="20"/>
        </w:rPr>
      </w:pPr>
      <w:r>
        <w:rPr>
          <w:sz w:val="20"/>
        </w:rPr>
        <w:t>Food service is available on a limited basis. Outside organizations are expected to comply with the University’s recycling policies. Contact information for food service </w:t>
      </w:r>
      <w:r>
        <w:rPr>
          <w:spacing w:val="2"/>
          <w:sz w:val="20"/>
        </w:rPr>
        <w:t>and </w:t>
      </w:r>
      <w:r>
        <w:rPr>
          <w:sz w:val="20"/>
        </w:rPr>
        <w:t>recycling is available from the Campus Scheduling Coordinator. Room use fees will be charged to all non-UMA organizations based on the following rates. All non-University groups will be charged $30.00 per hour for a four-hour minimum for use of University facilities on</w:t>
      </w:r>
      <w:r>
        <w:rPr>
          <w:spacing w:val="-23"/>
          <w:sz w:val="20"/>
        </w:rPr>
        <w:t> </w:t>
      </w:r>
      <w:r>
        <w:rPr>
          <w:sz w:val="20"/>
        </w:rPr>
        <w:t>weekends and University-recognized</w:t>
      </w:r>
      <w:r>
        <w:rPr>
          <w:spacing w:val="1"/>
          <w:sz w:val="20"/>
        </w:rPr>
        <w:t> </w:t>
      </w:r>
      <w:r>
        <w:rPr>
          <w:sz w:val="20"/>
        </w:rPr>
        <w:t>holidays.</w:t>
      </w:r>
    </w:p>
    <w:p>
      <w:pPr>
        <w:pStyle w:val="BodyText"/>
        <w:spacing w:before="3"/>
        <w:rPr>
          <w:sz w:val="17"/>
        </w:rPr>
      </w:pPr>
    </w:p>
    <w:p>
      <w:pPr>
        <w:pStyle w:val="ListParagraph"/>
        <w:numPr>
          <w:ilvl w:val="1"/>
          <w:numId w:val="1"/>
        </w:numPr>
        <w:tabs>
          <w:tab w:pos="1301" w:val="left" w:leader="none"/>
        </w:tabs>
        <w:spacing w:line="240" w:lineRule="auto" w:before="0" w:after="0"/>
        <w:ind w:left="1300" w:right="0" w:hanging="360"/>
        <w:jc w:val="left"/>
        <w:rPr>
          <w:sz w:val="20"/>
        </w:rPr>
      </w:pPr>
      <w:r>
        <w:rPr>
          <w:sz w:val="20"/>
        </w:rPr>
        <w:t>Dry Campus—No</w:t>
      </w:r>
      <w:r>
        <w:rPr>
          <w:spacing w:val="-4"/>
          <w:sz w:val="20"/>
        </w:rPr>
        <w:t> </w:t>
      </w:r>
      <w:r>
        <w:rPr>
          <w:sz w:val="20"/>
        </w:rPr>
        <w:t>Alcohol</w:t>
      </w:r>
    </w:p>
    <w:p>
      <w:pPr>
        <w:pStyle w:val="BodyText"/>
        <w:spacing w:before="6"/>
      </w:pPr>
    </w:p>
    <w:p>
      <w:pPr>
        <w:pStyle w:val="ListParagraph"/>
        <w:numPr>
          <w:ilvl w:val="1"/>
          <w:numId w:val="1"/>
        </w:numPr>
        <w:tabs>
          <w:tab w:pos="1300" w:val="left" w:leader="none"/>
          <w:tab w:pos="1301" w:val="left" w:leader="none"/>
        </w:tabs>
        <w:spacing w:line="276" w:lineRule="auto" w:before="0" w:after="0"/>
        <w:ind w:left="1300" w:right="106" w:hanging="360"/>
        <w:jc w:val="left"/>
        <w:rPr>
          <w:sz w:val="20"/>
        </w:rPr>
      </w:pPr>
      <w:r>
        <w:rPr>
          <w:sz w:val="20"/>
        </w:rPr>
        <w:t>The University reserves the right to cancel room reservations and close the campus without advance notice if, in the opinion of the administration, conditions warrant the cancellation. When weather or other emergency conditions necessitate the closing of the campus, the non- University organization will abide by the cancellation/campus closing</w:t>
      </w:r>
      <w:r>
        <w:rPr>
          <w:spacing w:val="-14"/>
          <w:sz w:val="20"/>
        </w:rPr>
        <w:t> </w:t>
      </w:r>
      <w:r>
        <w:rPr>
          <w:sz w:val="20"/>
        </w:rPr>
        <w:t>decision.</w:t>
      </w:r>
    </w:p>
    <w:p>
      <w:pPr>
        <w:spacing w:after="0" w:line="276" w:lineRule="auto"/>
        <w:jc w:val="left"/>
        <w:rPr>
          <w:sz w:val="20"/>
        </w:rPr>
        <w:sectPr>
          <w:pgSz w:w="12240" w:h="15840"/>
          <w:pgMar w:top="1360" w:bottom="280" w:left="1220" w:right="1340"/>
        </w:sectPr>
      </w:pPr>
    </w:p>
    <w:p>
      <w:pPr>
        <w:spacing w:before="77"/>
        <w:ind w:left="1800" w:right="2326" w:firstLine="0"/>
        <w:jc w:val="center"/>
        <w:rPr>
          <w:b/>
          <w:sz w:val="20"/>
        </w:rPr>
      </w:pPr>
      <w:r>
        <w:rPr>
          <w:b/>
          <w:sz w:val="20"/>
        </w:rPr>
        <w:t>FEE SCHEDULE</w:t>
      </w:r>
    </w:p>
    <w:p>
      <w:pPr>
        <w:pStyle w:val="BodyText"/>
        <w:spacing w:before="9"/>
        <w:rPr>
          <w:b/>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9"/>
        <w:gridCol w:w="1080"/>
        <w:gridCol w:w="991"/>
        <w:gridCol w:w="1260"/>
        <w:gridCol w:w="988"/>
        <w:gridCol w:w="1440"/>
      </w:tblGrid>
      <w:tr>
        <w:trPr>
          <w:trHeight w:val="462" w:hRule="atLeast"/>
        </w:trPr>
        <w:tc>
          <w:tcPr>
            <w:tcW w:w="8928" w:type="dxa"/>
            <w:gridSpan w:val="6"/>
            <w:tcBorders>
              <w:left w:val="single" w:sz="6" w:space="0" w:color="000000"/>
            </w:tcBorders>
          </w:tcPr>
          <w:p>
            <w:pPr>
              <w:pStyle w:val="TableParagraph"/>
              <w:spacing w:line="227" w:lineRule="exact"/>
              <w:ind w:left="3948" w:right="3938"/>
              <w:jc w:val="center"/>
              <w:rPr>
                <w:b/>
                <w:sz w:val="20"/>
              </w:rPr>
            </w:pPr>
            <w:r>
              <w:rPr>
                <w:b/>
                <w:sz w:val="20"/>
              </w:rPr>
              <w:t>AUGUSTA</w:t>
            </w:r>
          </w:p>
        </w:tc>
      </w:tr>
      <w:tr>
        <w:trPr>
          <w:trHeight w:val="465" w:hRule="atLeast"/>
        </w:trPr>
        <w:tc>
          <w:tcPr>
            <w:tcW w:w="3169" w:type="dxa"/>
            <w:tcBorders>
              <w:left w:val="single" w:sz="6" w:space="0" w:color="000000"/>
            </w:tcBorders>
          </w:tcPr>
          <w:p>
            <w:pPr>
              <w:pStyle w:val="TableParagraph"/>
              <w:spacing w:line="240" w:lineRule="auto"/>
              <w:ind w:right="0"/>
              <w:jc w:val="left"/>
              <w:rPr>
                <w:rFonts w:ascii="Times New Roman"/>
                <w:sz w:val="18"/>
              </w:rPr>
            </w:pPr>
          </w:p>
        </w:tc>
        <w:tc>
          <w:tcPr>
            <w:tcW w:w="1080" w:type="dxa"/>
          </w:tcPr>
          <w:p>
            <w:pPr>
              <w:pStyle w:val="TableParagraph"/>
              <w:spacing w:line="240" w:lineRule="auto"/>
              <w:ind w:right="0"/>
              <w:jc w:val="left"/>
              <w:rPr>
                <w:rFonts w:ascii="Times New Roman"/>
                <w:sz w:val="18"/>
              </w:rPr>
            </w:pPr>
          </w:p>
        </w:tc>
        <w:tc>
          <w:tcPr>
            <w:tcW w:w="2251" w:type="dxa"/>
            <w:gridSpan w:val="2"/>
          </w:tcPr>
          <w:p>
            <w:pPr>
              <w:pStyle w:val="TableParagraph"/>
              <w:spacing w:line="227" w:lineRule="exact"/>
              <w:ind w:left="239" w:right="0"/>
              <w:jc w:val="left"/>
              <w:rPr>
                <w:b/>
                <w:sz w:val="20"/>
              </w:rPr>
            </w:pPr>
            <w:r>
              <w:rPr>
                <w:b/>
                <w:sz w:val="20"/>
              </w:rPr>
              <w:t>Half-Day (0-4 hours)</w:t>
            </w:r>
          </w:p>
        </w:tc>
        <w:tc>
          <w:tcPr>
            <w:tcW w:w="2428" w:type="dxa"/>
            <w:gridSpan w:val="2"/>
          </w:tcPr>
          <w:p>
            <w:pPr>
              <w:pStyle w:val="TableParagraph"/>
              <w:spacing w:line="227" w:lineRule="exact"/>
              <w:ind w:left="511" w:right="0"/>
              <w:jc w:val="left"/>
              <w:rPr>
                <w:b/>
                <w:sz w:val="20"/>
              </w:rPr>
            </w:pPr>
            <w:r>
              <w:rPr>
                <w:b/>
                <w:sz w:val="20"/>
              </w:rPr>
              <w:t>Full Day (4+ hours)</w:t>
            </w:r>
          </w:p>
        </w:tc>
      </w:tr>
      <w:tr>
        <w:trPr>
          <w:trHeight w:val="465" w:hRule="atLeast"/>
        </w:trPr>
        <w:tc>
          <w:tcPr>
            <w:tcW w:w="3169" w:type="dxa"/>
            <w:tcBorders>
              <w:left w:val="single" w:sz="6" w:space="0" w:color="000000"/>
            </w:tcBorders>
          </w:tcPr>
          <w:p>
            <w:pPr>
              <w:pStyle w:val="TableParagraph"/>
              <w:spacing w:line="227" w:lineRule="exact"/>
              <w:ind w:left="1142" w:right="1140"/>
              <w:jc w:val="center"/>
              <w:rPr>
                <w:b/>
                <w:sz w:val="20"/>
              </w:rPr>
            </w:pPr>
            <w:r>
              <w:rPr>
                <w:b/>
                <w:sz w:val="20"/>
              </w:rPr>
              <w:t>Location</w:t>
            </w:r>
          </w:p>
        </w:tc>
        <w:tc>
          <w:tcPr>
            <w:tcW w:w="1080" w:type="dxa"/>
          </w:tcPr>
          <w:p>
            <w:pPr>
              <w:pStyle w:val="TableParagraph"/>
              <w:spacing w:line="227" w:lineRule="exact"/>
              <w:ind w:right="112"/>
              <w:rPr>
                <w:b/>
                <w:sz w:val="20"/>
              </w:rPr>
            </w:pPr>
            <w:r>
              <w:rPr>
                <w:b/>
                <w:w w:val="95"/>
                <w:sz w:val="20"/>
              </w:rPr>
              <w:t>Capacity</w:t>
            </w:r>
          </w:p>
        </w:tc>
        <w:tc>
          <w:tcPr>
            <w:tcW w:w="991" w:type="dxa"/>
          </w:tcPr>
          <w:p>
            <w:pPr>
              <w:pStyle w:val="TableParagraph"/>
              <w:spacing w:line="227" w:lineRule="exact"/>
              <w:ind w:left="232" w:right="0"/>
              <w:jc w:val="left"/>
              <w:rPr>
                <w:b/>
                <w:sz w:val="20"/>
              </w:rPr>
            </w:pPr>
            <w:r>
              <w:rPr>
                <w:b/>
                <w:sz w:val="20"/>
              </w:rPr>
              <w:t>Profit</w:t>
            </w:r>
          </w:p>
        </w:tc>
        <w:tc>
          <w:tcPr>
            <w:tcW w:w="1260" w:type="dxa"/>
          </w:tcPr>
          <w:p>
            <w:pPr>
              <w:pStyle w:val="TableParagraph"/>
              <w:spacing w:line="227" w:lineRule="exact"/>
              <w:ind w:right="132"/>
              <w:rPr>
                <w:b/>
                <w:sz w:val="20"/>
              </w:rPr>
            </w:pPr>
            <w:r>
              <w:rPr>
                <w:b/>
                <w:sz w:val="20"/>
              </w:rPr>
              <w:t>Non-Profit</w:t>
            </w:r>
          </w:p>
        </w:tc>
        <w:tc>
          <w:tcPr>
            <w:tcW w:w="988" w:type="dxa"/>
          </w:tcPr>
          <w:p>
            <w:pPr>
              <w:pStyle w:val="TableParagraph"/>
              <w:spacing w:line="227" w:lineRule="exact"/>
              <w:ind w:left="230" w:right="0"/>
              <w:jc w:val="left"/>
              <w:rPr>
                <w:b/>
                <w:sz w:val="20"/>
              </w:rPr>
            </w:pPr>
            <w:r>
              <w:rPr>
                <w:b/>
                <w:sz w:val="20"/>
              </w:rPr>
              <w:t>Profit</w:t>
            </w:r>
          </w:p>
        </w:tc>
        <w:tc>
          <w:tcPr>
            <w:tcW w:w="1440" w:type="dxa"/>
          </w:tcPr>
          <w:p>
            <w:pPr>
              <w:pStyle w:val="TableParagraph"/>
              <w:spacing w:line="227" w:lineRule="exact"/>
              <w:ind w:left="231" w:right="0"/>
              <w:jc w:val="left"/>
              <w:rPr>
                <w:b/>
                <w:sz w:val="20"/>
              </w:rPr>
            </w:pPr>
            <w:r>
              <w:rPr>
                <w:b/>
                <w:sz w:val="20"/>
              </w:rPr>
              <w:t>Non-Profit</w:t>
            </w:r>
          </w:p>
        </w:tc>
      </w:tr>
      <w:tr>
        <w:trPr>
          <w:trHeight w:val="462" w:hRule="atLeast"/>
        </w:trPr>
        <w:tc>
          <w:tcPr>
            <w:tcW w:w="3169" w:type="dxa"/>
            <w:tcBorders>
              <w:left w:val="single" w:sz="6" w:space="0" w:color="000000"/>
            </w:tcBorders>
          </w:tcPr>
          <w:p>
            <w:pPr>
              <w:pStyle w:val="TableParagraph"/>
              <w:spacing w:line="240" w:lineRule="auto" w:before="114"/>
              <w:ind w:left="105" w:right="0"/>
              <w:jc w:val="left"/>
              <w:rPr>
                <w:sz w:val="20"/>
              </w:rPr>
            </w:pPr>
            <w:r>
              <w:rPr>
                <w:sz w:val="20"/>
              </w:rPr>
              <w:t>Augusta Civic Center #252</w:t>
            </w:r>
          </w:p>
        </w:tc>
        <w:tc>
          <w:tcPr>
            <w:tcW w:w="1080" w:type="dxa"/>
          </w:tcPr>
          <w:p>
            <w:pPr>
              <w:pStyle w:val="TableParagraph"/>
              <w:ind w:right="98"/>
              <w:rPr>
                <w:sz w:val="20"/>
              </w:rPr>
            </w:pPr>
            <w:r>
              <w:rPr>
                <w:w w:val="95"/>
                <w:sz w:val="20"/>
              </w:rPr>
              <w:t>49</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30" w:lineRule="exact" w:before="3"/>
              <w:ind w:left="105" w:right="119"/>
              <w:jc w:val="left"/>
              <w:rPr>
                <w:sz w:val="20"/>
              </w:rPr>
            </w:pPr>
            <w:r>
              <w:rPr>
                <w:sz w:val="20"/>
              </w:rPr>
              <w:t>Farmhouse Conference Rm # 11 (Polycom)</w:t>
            </w:r>
          </w:p>
        </w:tc>
        <w:tc>
          <w:tcPr>
            <w:tcW w:w="1080" w:type="dxa"/>
          </w:tcPr>
          <w:p>
            <w:pPr>
              <w:pStyle w:val="TableParagraph"/>
              <w:ind w:right="95"/>
              <w:rPr>
                <w:sz w:val="20"/>
              </w:rPr>
            </w:pPr>
            <w:r>
              <w:rPr>
                <w:sz w:val="20"/>
              </w:rPr>
              <w:t>6-8</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30" w:lineRule="exact" w:before="3"/>
              <w:ind w:left="105" w:right="397"/>
              <w:jc w:val="left"/>
              <w:rPr>
                <w:sz w:val="20"/>
              </w:rPr>
            </w:pPr>
            <w:r>
              <w:rPr>
                <w:sz w:val="20"/>
              </w:rPr>
              <w:t>Farmhouse Conference Rm # 103 (Polycom)</w:t>
            </w:r>
          </w:p>
        </w:tc>
        <w:tc>
          <w:tcPr>
            <w:tcW w:w="1080" w:type="dxa"/>
          </w:tcPr>
          <w:p>
            <w:pPr>
              <w:pStyle w:val="TableParagraph"/>
              <w:ind w:right="95"/>
              <w:rPr>
                <w:sz w:val="20"/>
              </w:rPr>
            </w:pPr>
            <w:r>
              <w:rPr>
                <w:sz w:val="20"/>
              </w:rPr>
              <w:t>6-8</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2"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Auditorium #156</w:t>
            </w:r>
          </w:p>
        </w:tc>
        <w:tc>
          <w:tcPr>
            <w:tcW w:w="1080" w:type="dxa"/>
          </w:tcPr>
          <w:p>
            <w:pPr>
              <w:pStyle w:val="TableParagraph"/>
              <w:ind w:right="98"/>
              <w:rPr>
                <w:sz w:val="20"/>
              </w:rPr>
            </w:pPr>
            <w:r>
              <w:rPr>
                <w:w w:val="95"/>
                <w:sz w:val="20"/>
              </w:rPr>
              <w:t>288</w:t>
            </w:r>
          </w:p>
        </w:tc>
        <w:tc>
          <w:tcPr>
            <w:tcW w:w="991" w:type="dxa"/>
          </w:tcPr>
          <w:p>
            <w:pPr>
              <w:pStyle w:val="TableParagraph"/>
              <w:rPr>
                <w:sz w:val="20"/>
              </w:rPr>
            </w:pPr>
            <w:r>
              <w:rPr>
                <w:w w:val="95"/>
                <w:sz w:val="20"/>
              </w:rPr>
              <w:t>$250</w:t>
            </w:r>
          </w:p>
        </w:tc>
        <w:tc>
          <w:tcPr>
            <w:tcW w:w="1260" w:type="dxa"/>
          </w:tcPr>
          <w:p>
            <w:pPr>
              <w:pStyle w:val="TableParagraph"/>
              <w:rPr>
                <w:sz w:val="20"/>
              </w:rPr>
            </w:pPr>
            <w:r>
              <w:rPr>
                <w:w w:val="95"/>
                <w:sz w:val="20"/>
              </w:rPr>
              <w:t>$125</w:t>
            </w:r>
          </w:p>
        </w:tc>
        <w:tc>
          <w:tcPr>
            <w:tcW w:w="988" w:type="dxa"/>
          </w:tcPr>
          <w:p>
            <w:pPr>
              <w:pStyle w:val="TableParagraph"/>
              <w:ind w:right="99"/>
              <w:rPr>
                <w:sz w:val="20"/>
              </w:rPr>
            </w:pPr>
            <w:r>
              <w:rPr>
                <w:w w:val="95"/>
                <w:sz w:val="20"/>
              </w:rPr>
              <w:t>$400</w:t>
            </w:r>
          </w:p>
        </w:tc>
        <w:tc>
          <w:tcPr>
            <w:tcW w:w="1440" w:type="dxa"/>
          </w:tcPr>
          <w:p>
            <w:pPr>
              <w:pStyle w:val="TableParagraph"/>
              <w:ind w:right="96"/>
              <w:rPr>
                <w:sz w:val="20"/>
              </w:rPr>
            </w:pPr>
            <w:r>
              <w:rPr>
                <w:w w:val="95"/>
                <w:sz w:val="20"/>
              </w:rPr>
              <w:t>$250</w:t>
            </w:r>
          </w:p>
        </w:tc>
      </w:tr>
      <w:tr>
        <w:trPr>
          <w:trHeight w:val="465" w:hRule="atLeast"/>
        </w:trPr>
        <w:tc>
          <w:tcPr>
            <w:tcW w:w="3169" w:type="dxa"/>
            <w:tcBorders>
              <w:left w:val="single" w:sz="6" w:space="0" w:color="000000"/>
            </w:tcBorders>
          </w:tcPr>
          <w:p>
            <w:pPr>
              <w:pStyle w:val="TableParagraph"/>
              <w:ind w:left="105" w:right="0"/>
              <w:jc w:val="left"/>
              <w:rPr>
                <w:sz w:val="20"/>
              </w:rPr>
            </w:pPr>
            <w:r>
              <w:rPr>
                <w:sz w:val="20"/>
              </w:rPr>
              <w:t>Jewett Hall Gallery</w:t>
            </w:r>
          </w:p>
        </w:tc>
        <w:tc>
          <w:tcPr>
            <w:tcW w:w="1080" w:type="dxa"/>
          </w:tcPr>
          <w:p>
            <w:pPr>
              <w:pStyle w:val="TableParagraph"/>
              <w:spacing w:line="240" w:lineRule="auto"/>
              <w:ind w:right="0"/>
              <w:jc w:val="left"/>
              <w:rPr>
                <w:rFonts w:ascii="Times New Roman"/>
                <w:sz w:val="18"/>
              </w:rPr>
            </w:pPr>
          </w:p>
        </w:tc>
        <w:tc>
          <w:tcPr>
            <w:tcW w:w="991" w:type="dxa"/>
          </w:tcPr>
          <w:p>
            <w:pPr>
              <w:pStyle w:val="TableParagraph"/>
              <w:spacing w:line="240" w:lineRule="auto" w:before="2"/>
              <w:rPr>
                <w:sz w:val="20"/>
              </w:rPr>
            </w:pPr>
            <w:r>
              <w:rPr>
                <w:w w:val="95"/>
                <w:sz w:val="20"/>
              </w:rPr>
              <w:t>$75</w:t>
            </w:r>
          </w:p>
        </w:tc>
        <w:tc>
          <w:tcPr>
            <w:tcW w:w="1260" w:type="dxa"/>
          </w:tcPr>
          <w:p>
            <w:pPr>
              <w:pStyle w:val="TableParagraph"/>
              <w:spacing w:line="240" w:lineRule="auto" w:before="2"/>
              <w:rPr>
                <w:sz w:val="20"/>
              </w:rPr>
            </w:pPr>
            <w:r>
              <w:rPr>
                <w:w w:val="95"/>
                <w:sz w:val="20"/>
              </w:rPr>
              <w:t>$45</w:t>
            </w:r>
          </w:p>
        </w:tc>
        <w:tc>
          <w:tcPr>
            <w:tcW w:w="988" w:type="dxa"/>
          </w:tcPr>
          <w:p>
            <w:pPr>
              <w:pStyle w:val="TableParagraph"/>
              <w:spacing w:line="240" w:lineRule="auto" w:before="2"/>
              <w:ind w:right="99"/>
              <w:rPr>
                <w:sz w:val="20"/>
              </w:rPr>
            </w:pPr>
            <w:r>
              <w:rPr>
                <w:w w:val="95"/>
                <w:sz w:val="20"/>
              </w:rPr>
              <w:t>$125</w:t>
            </w:r>
          </w:p>
        </w:tc>
        <w:tc>
          <w:tcPr>
            <w:tcW w:w="1440" w:type="dxa"/>
          </w:tcPr>
          <w:p>
            <w:pPr>
              <w:pStyle w:val="TableParagraph"/>
              <w:spacing w:line="240" w:lineRule="auto" w:before="2"/>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#124 (Polycom)</w:t>
            </w:r>
          </w:p>
        </w:tc>
        <w:tc>
          <w:tcPr>
            <w:tcW w:w="1080" w:type="dxa"/>
          </w:tcPr>
          <w:p>
            <w:pPr>
              <w:pStyle w:val="TableParagraph"/>
              <w:ind w:right="98"/>
              <w:rPr>
                <w:sz w:val="20"/>
              </w:rPr>
            </w:pPr>
            <w:r>
              <w:rPr>
                <w:w w:val="95"/>
                <w:sz w:val="20"/>
              </w:rPr>
              <w:t>12</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#180</w:t>
            </w:r>
          </w:p>
        </w:tc>
        <w:tc>
          <w:tcPr>
            <w:tcW w:w="1080" w:type="dxa"/>
          </w:tcPr>
          <w:p>
            <w:pPr>
              <w:pStyle w:val="TableParagraph"/>
              <w:ind w:right="98"/>
              <w:rPr>
                <w:sz w:val="20"/>
              </w:rPr>
            </w:pPr>
            <w:r>
              <w:rPr>
                <w:w w:val="95"/>
                <w:sz w:val="20"/>
              </w:rPr>
              <w:t>80</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2"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#185</w:t>
            </w:r>
          </w:p>
        </w:tc>
        <w:tc>
          <w:tcPr>
            <w:tcW w:w="1080" w:type="dxa"/>
          </w:tcPr>
          <w:p>
            <w:pPr>
              <w:pStyle w:val="TableParagraph"/>
              <w:ind w:right="98"/>
              <w:rPr>
                <w:sz w:val="20"/>
              </w:rPr>
            </w:pPr>
            <w:r>
              <w:rPr>
                <w:w w:val="95"/>
                <w:sz w:val="20"/>
              </w:rPr>
              <w:t>40</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#189</w:t>
            </w:r>
          </w:p>
        </w:tc>
        <w:tc>
          <w:tcPr>
            <w:tcW w:w="1080" w:type="dxa"/>
          </w:tcPr>
          <w:p>
            <w:pPr>
              <w:pStyle w:val="TableParagraph"/>
              <w:ind w:right="98"/>
              <w:rPr>
                <w:sz w:val="20"/>
              </w:rPr>
            </w:pPr>
            <w:r>
              <w:rPr>
                <w:w w:val="95"/>
                <w:sz w:val="20"/>
              </w:rPr>
              <w:t>44</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#190</w:t>
            </w:r>
          </w:p>
        </w:tc>
        <w:tc>
          <w:tcPr>
            <w:tcW w:w="1080" w:type="dxa"/>
          </w:tcPr>
          <w:p>
            <w:pPr>
              <w:pStyle w:val="TableParagraph"/>
              <w:ind w:right="98"/>
              <w:rPr>
                <w:sz w:val="20"/>
              </w:rPr>
            </w:pPr>
            <w:r>
              <w:rPr>
                <w:w w:val="95"/>
                <w:sz w:val="20"/>
              </w:rPr>
              <w:t>53</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2"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#293</w:t>
            </w:r>
          </w:p>
        </w:tc>
        <w:tc>
          <w:tcPr>
            <w:tcW w:w="1080" w:type="dxa"/>
          </w:tcPr>
          <w:p>
            <w:pPr>
              <w:pStyle w:val="TableParagraph"/>
              <w:ind w:right="98"/>
              <w:rPr>
                <w:sz w:val="20"/>
              </w:rPr>
            </w:pPr>
            <w:r>
              <w:rPr>
                <w:w w:val="95"/>
                <w:sz w:val="20"/>
              </w:rPr>
              <w:t>40</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27" w:lineRule="exact"/>
              <w:ind w:left="105" w:right="0"/>
              <w:jc w:val="left"/>
              <w:rPr>
                <w:sz w:val="20"/>
              </w:rPr>
            </w:pPr>
            <w:r>
              <w:rPr>
                <w:sz w:val="20"/>
              </w:rPr>
              <w:t>Jewett Hall #295</w:t>
            </w:r>
          </w:p>
        </w:tc>
        <w:tc>
          <w:tcPr>
            <w:tcW w:w="1080" w:type="dxa"/>
          </w:tcPr>
          <w:p>
            <w:pPr>
              <w:pStyle w:val="TableParagraph"/>
              <w:ind w:right="98"/>
              <w:rPr>
                <w:sz w:val="20"/>
              </w:rPr>
            </w:pPr>
            <w:r>
              <w:rPr>
                <w:w w:val="95"/>
                <w:sz w:val="20"/>
              </w:rPr>
              <w:t>40</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1523" w:hRule="atLeast"/>
        </w:trPr>
        <w:tc>
          <w:tcPr>
            <w:tcW w:w="3169" w:type="dxa"/>
            <w:tcBorders>
              <w:left w:val="single" w:sz="6" w:space="0" w:color="000000"/>
            </w:tcBorders>
          </w:tcPr>
          <w:p>
            <w:pPr>
              <w:pStyle w:val="TableParagraph"/>
              <w:spacing w:line="240" w:lineRule="auto"/>
              <w:ind w:left="105" w:right="0"/>
              <w:jc w:val="left"/>
              <w:rPr>
                <w:sz w:val="20"/>
              </w:rPr>
            </w:pPr>
            <w:r>
              <w:rPr>
                <w:sz w:val="20"/>
              </w:rPr>
              <w:t>Richard Randall Student Center Conference Room #200</w:t>
            </w:r>
          </w:p>
        </w:tc>
        <w:tc>
          <w:tcPr>
            <w:tcW w:w="1080" w:type="dxa"/>
          </w:tcPr>
          <w:p>
            <w:pPr>
              <w:pStyle w:val="TableParagraph"/>
              <w:spacing w:line="276" w:lineRule="auto"/>
              <w:ind w:left="107" w:right="198"/>
              <w:jc w:val="left"/>
              <w:rPr>
                <w:sz w:val="20"/>
              </w:rPr>
            </w:pPr>
            <w:r>
              <w:rPr>
                <w:sz w:val="20"/>
              </w:rPr>
              <w:t>120 w/ tables/c, 150</w:t>
            </w:r>
          </w:p>
          <w:p>
            <w:pPr>
              <w:pStyle w:val="TableParagraph"/>
              <w:spacing w:line="276" w:lineRule="auto"/>
              <w:ind w:left="107" w:right="198"/>
              <w:jc w:val="left"/>
              <w:rPr>
                <w:sz w:val="20"/>
              </w:rPr>
            </w:pPr>
            <w:r>
              <w:rPr>
                <w:w w:val="95"/>
                <w:sz w:val="20"/>
              </w:rPr>
              <w:t>standing </w:t>
            </w:r>
            <w:r>
              <w:rPr>
                <w:sz w:val="20"/>
              </w:rPr>
              <w:t>only</w:t>
            </w:r>
          </w:p>
        </w:tc>
        <w:tc>
          <w:tcPr>
            <w:tcW w:w="991" w:type="dxa"/>
          </w:tcPr>
          <w:p>
            <w:pPr>
              <w:pStyle w:val="TableParagraph"/>
              <w:ind w:left="115" w:right="0"/>
              <w:jc w:val="left"/>
              <w:rPr>
                <w:sz w:val="20"/>
              </w:rPr>
            </w:pPr>
            <w:r>
              <w:rPr>
                <w:sz w:val="20"/>
              </w:rPr>
              <w:t>$400</w:t>
            </w:r>
            <w:r>
              <w:rPr>
                <w:spacing w:val="-3"/>
                <w:sz w:val="20"/>
              </w:rPr>
              <w:t> </w:t>
            </w:r>
            <w:r>
              <w:rPr>
                <w:sz w:val="20"/>
              </w:rPr>
              <w:t>flat</w:t>
            </w:r>
          </w:p>
          <w:p>
            <w:pPr>
              <w:pStyle w:val="TableParagraph"/>
              <w:spacing w:line="240" w:lineRule="auto" w:before="34"/>
              <w:ind w:left="535" w:right="0"/>
              <w:jc w:val="left"/>
              <w:rPr>
                <w:sz w:val="20"/>
              </w:rPr>
            </w:pPr>
            <w:r>
              <w:rPr>
                <w:sz w:val="20"/>
              </w:rPr>
              <w:t>rate</w:t>
            </w:r>
          </w:p>
        </w:tc>
        <w:tc>
          <w:tcPr>
            <w:tcW w:w="1260" w:type="dxa"/>
          </w:tcPr>
          <w:p>
            <w:pPr>
              <w:pStyle w:val="TableParagraph"/>
              <w:ind w:left="384" w:right="0"/>
              <w:jc w:val="left"/>
              <w:rPr>
                <w:sz w:val="20"/>
              </w:rPr>
            </w:pPr>
            <w:r>
              <w:rPr>
                <w:sz w:val="20"/>
              </w:rPr>
              <w:t>$300</w:t>
            </w:r>
            <w:r>
              <w:rPr>
                <w:spacing w:val="-3"/>
                <w:sz w:val="20"/>
              </w:rPr>
              <w:t> </w:t>
            </w:r>
            <w:r>
              <w:rPr>
                <w:sz w:val="20"/>
              </w:rPr>
              <w:t>flat</w:t>
            </w:r>
          </w:p>
          <w:p>
            <w:pPr>
              <w:pStyle w:val="TableParagraph"/>
              <w:spacing w:line="240" w:lineRule="auto" w:before="34"/>
              <w:ind w:left="804" w:right="0"/>
              <w:jc w:val="left"/>
              <w:rPr>
                <w:sz w:val="20"/>
              </w:rPr>
            </w:pPr>
            <w:r>
              <w:rPr>
                <w:sz w:val="20"/>
              </w:rPr>
              <w:t>rate</w:t>
            </w:r>
          </w:p>
        </w:tc>
        <w:tc>
          <w:tcPr>
            <w:tcW w:w="988" w:type="dxa"/>
          </w:tcPr>
          <w:p>
            <w:pPr>
              <w:pStyle w:val="TableParagraph"/>
              <w:ind w:right="98"/>
              <w:rPr>
                <w:sz w:val="20"/>
              </w:rPr>
            </w:pPr>
            <w:r>
              <w:rPr>
                <w:w w:val="95"/>
                <w:sz w:val="20"/>
              </w:rPr>
              <w:t>N/A</w:t>
            </w:r>
          </w:p>
        </w:tc>
        <w:tc>
          <w:tcPr>
            <w:tcW w:w="1440" w:type="dxa"/>
          </w:tcPr>
          <w:p>
            <w:pPr>
              <w:pStyle w:val="TableParagraph"/>
              <w:ind w:right="95"/>
              <w:rPr>
                <w:sz w:val="20"/>
              </w:rPr>
            </w:pPr>
            <w:r>
              <w:rPr>
                <w:w w:val="95"/>
                <w:sz w:val="20"/>
              </w:rPr>
              <w:t>N/A</w:t>
            </w:r>
          </w:p>
        </w:tc>
      </w:tr>
      <w:tr>
        <w:trPr>
          <w:trHeight w:val="463" w:hRule="atLeast"/>
        </w:trPr>
        <w:tc>
          <w:tcPr>
            <w:tcW w:w="3169" w:type="dxa"/>
            <w:tcBorders>
              <w:left w:val="single" w:sz="6" w:space="0" w:color="000000"/>
            </w:tcBorders>
          </w:tcPr>
          <w:p>
            <w:pPr>
              <w:pStyle w:val="TableParagraph"/>
              <w:spacing w:line="227" w:lineRule="exact"/>
              <w:ind w:left="105" w:right="0"/>
              <w:jc w:val="left"/>
              <w:rPr>
                <w:sz w:val="20"/>
              </w:rPr>
            </w:pPr>
            <w:r>
              <w:rPr>
                <w:sz w:val="20"/>
              </w:rPr>
              <w:t>Richard Randall Student Center</w:t>
            </w:r>
          </w:p>
          <w:p>
            <w:pPr>
              <w:pStyle w:val="TableParagraph"/>
              <w:spacing w:line="215" w:lineRule="exact" w:before="1"/>
              <w:ind w:left="105" w:right="0"/>
              <w:jc w:val="left"/>
              <w:rPr>
                <w:sz w:val="20"/>
              </w:rPr>
            </w:pPr>
            <w:r>
              <w:rPr>
                <w:sz w:val="20"/>
              </w:rPr>
              <w:t>Conference Room #208</w:t>
            </w:r>
          </w:p>
        </w:tc>
        <w:tc>
          <w:tcPr>
            <w:tcW w:w="1080" w:type="dxa"/>
          </w:tcPr>
          <w:p>
            <w:pPr>
              <w:pStyle w:val="TableParagraph"/>
              <w:ind w:right="95"/>
              <w:rPr>
                <w:sz w:val="20"/>
              </w:rPr>
            </w:pPr>
            <w:r>
              <w:rPr>
                <w:w w:val="99"/>
                <w:sz w:val="20"/>
              </w:rPr>
              <w:t>6</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30" w:lineRule="exact"/>
              <w:ind w:left="105" w:right="0"/>
              <w:jc w:val="left"/>
              <w:rPr>
                <w:sz w:val="20"/>
              </w:rPr>
            </w:pPr>
            <w:r>
              <w:rPr>
                <w:sz w:val="20"/>
              </w:rPr>
              <w:t>Richard Randall Student Center Large Conference Room #218</w:t>
            </w:r>
          </w:p>
        </w:tc>
        <w:tc>
          <w:tcPr>
            <w:tcW w:w="1080" w:type="dxa"/>
          </w:tcPr>
          <w:p>
            <w:pPr>
              <w:pStyle w:val="TableParagraph"/>
              <w:ind w:right="98"/>
              <w:rPr>
                <w:sz w:val="20"/>
              </w:rPr>
            </w:pPr>
            <w:r>
              <w:rPr>
                <w:w w:val="95"/>
                <w:sz w:val="20"/>
              </w:rPr>
              <w:t>24</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30" w:lineRule="exact"/>
              <w:ind w:left="105" w:right="0"/>
              <w:jc w:val="left"/>
              <w:rPr>
                <w:sz w:val="20"/>
              </w:rPr>
            </w:pPr>
            <w:r>
              <w:rPr>
                <w:sz w:val="20"/>
              </w:rPr>
              <w:t>Richard Randall Student Center Moose Tracks Café</w:t>
            </w:r>
          </w:p>
        </w:tc>
        <w:tc>
          <w:tcPr>
            <w:tcW w:w="1080" w:type="dxa"/>
          </w:tcPr>
          <w:p>
            <w:pPr>
              <w:pStyle w:val="TableParagraph"/>
              <w:ind w:right="98"/>
              <w:rPr>
                <w:sz w:val="20"/>
              </w:rPr>
            </w:pPr>
            <w:r>
              <w:rPr>
                <w:w w:val="95"/>
                <w:sz w:val="20"/>
              </w:rPr>
              <w:t>50</w:t>
            </w:r>
          </w:p>
        </w:tc>
        <w:tc>
          <w:tcPr>
            <w:tcW w:w="991" w:type="dxa"/>
          </w:tcPr>
          <w:p>
            <w:pPr>
              <w:pStyle w:val="TableParagraph"/>
              <w:rPr>
                <w:sz w:val="20"/>
              </w:rPr>
            </w:pPr>
            <w:r>
              <w:rPr>
                <w:w w:val="95"/>
                <w:sz w:val="20"/>
              </w:rPr>
              <w:t>$150</w:t>
            </w:r>
          </w:p>
        </w:tc>
        <w:tc>
          <w:tcPr>
            <w:tcW w:w="1260" w:type="dxa"/>
          </w:tcPr>
          <w:p>
            <w:pPr>
              <w:pStyle w:val="TableParagraph"/>
              <w:rPr>
                <w:sz w:val="20"/>
              </w:rPr>
            </w:pPr>
            <w:r>
              <w:rPr>
                <w:w w:val="95"/>
                <w:sz w:val="20"/>
              </w:rPr>
              <w:t>$75</w:t>
            </w:r>
          </w:p>
        </w:tc>
        <w:tc>
          <w:tcPr>
            <w:tcW w:w="988" w:type="dxa"/>
          </w:tcPr>
          <w:p>
            <w:pPr>
              <w:pStyle w:val="TableParagraph"/>
              <w:ind w:right="99"/>
              <w:rPr>
                <w:sz w:val="20"/>
              </w:rPr>
            </w:pPr>
            <w:r>
              <w:rPr>
                <w:w w:val="95"/>
                <w:sz w:val="20"/>
              </w:rPr>
              <w:t>$250</w:t>
            </w:r>
          </w:p>
        </w:tc>
        <w:tc>
          <w:tcPr>
            <w:tcW w:w="1440" w:type="dxa"/>
          </w:tcPr>
          <w:p>
            <w:pPr>
              <w:pStyle w:val="TableParagraph"/>
              <w:ind w:right="96"/>
              <w:rPr>
                <w:sz w:val="20"/>
              </w:rPr>
            </w:pPr>
            <w:r>
              <w:rPr>
                <w:w w:val="95"/>
                <w:sz w:val="20"/>
              </w:rPr>
              <w:t>$125</w:t>
            </w:r>
          </w:p>
        </w:tc>
      </w:tr>
      <w:tr>
        <w:trPr>
          <w:trHeight w:val="462" w:hRule="atLeast"/>
        </w:trPr>
        <w:tc>
          <w:tcPr>
            <w:tcW w:w="3169" w:type="dxa"/>
            <w:tcBorders>
              <w:left w:val="single" w:sz="6" w:space="0" w:color="000000"/>
            </w:tcBorders>
          </w:tcPr>
          <w:p>
            <w:pPr>
              <w:pStyle w:val="TableParagraph"/>
              <w:spacing w:line="230" w:lineRule="exact"/>
              <w:ind w:left="105" w:right="0"/>
              <w:jc w:val="left"/>
              <w:rPr>
                <w:sz w:val="20"/>
              </w:rPr>
            </w:pPr>
            <w:r>
              <w:rPr>
                <w:sz w:val="20"/>
              </w:rPr>
              <w:t>Richard Randall Student Center #248</w:t>
            </w:r>
          </w:p>
        </w:tc>
        <w:tc>
          <w:tcPr>
            <w:tcW w:w="1080" w:type="dxa"/>
          </w:tcPr>
          <w:p>
            <w:pPr>
              <w:pStyle w:val="TableParagraph"/>
              <w:ind w:right="98"/>
              <w:rPr>
                <w:sz w:val="20"/>
              </w:rPr>
            </w:pPr>
            <w:r>
              <w:rPr>
                <w:w w:val="95"/>
                <w:sz w:val="20"/>
              </w:rPr>
              <w:t>24</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465" w:hRule="atLeast"/>
        </w:trPr>
        <w:tc>
          <w:tcPr>
            <w:tcW w:w="3169" w:type="dxa"/>
            <w:tcBorders>
              <w:left w:val="single" w:sz="6" w:space="0" w:color="000000"/>
            </w:tcBorders>
          </w:tcPr>
          <w:p>
            <w:pPr>
              <w:pStyle w:val="TableParagraph"/>
              <w:spacing w:line="230" w:lineRule="exact"/>
              <w:ind w:left="105" w:right="207"/>
              <w:jc w:val="left"/>
              <w:rPr>
                <w:sz w:val="20"/>
              </w:rPr>
            </w:pPr>
            <w:r>
              <w:rPr>
                <w:sz w:val="20"/>
              </w:rPr>
              <w:t>Richard Randall Student Center #250</w:t>
            </w:r>
          </w:p>
        </w:tc>
        <w:tc>
          <w:tcPr>
            <w:tcW w:w="1080" w:type="dxa"/>
          </w:tcPr>
          <w:p>
            <w:pPr>
              <w:pStyle w:val="TableParagraph"/>
              <w:ind w:right="98"/>
              <w:rPr>
                <w:sz w:val="20"/>
              </w:rPr>
            </w:pPr>
            <w:r>
              <w:rPr>
                <w:w w:val="95"/>
                <w:sz w:val="20"/>
              </w:rPr>
              <w:t>24</w:t>
            </w:r>
          </w:p>
        </w:tc>
        <w:tc>
          <w:tcPr>
            <w:tcW w:w="991" w:type="dxa"/>
          </w:tcPr>
          <w:p>
            <w:pPr>
              <w:pStyle w:val="TableParagraph"/>
              <w:rPr>
                <w:sz w:val="20"/>
              </w:rPr>
            </w:pPr>
            <w:r>
              <w:rPr>
                <w:w w:val="95"/>
                <w:sz w:val="20"/>
              </w:rPr>
              <w:t>$75</w:t>
            </w:r>
          </w:p>
        </w:tc>
        <w:tc>
          <w:tcPr>
            <w:tcW w:w="1260" w:type="dxa"/>
          </w:tcPr>
          <w:p>
            <w:pPr>
              <w:pStyle w:val="TableParagraph"/>
              <w:rPr>
                <w:sz w:val="20"/>
              </w:rPr>
            </w:pPr>
            <w:r>
              <w:rPr>
                <w:w w:val="95"/>
                <w:sz w:val="20"/>
              </w:rPr>
              <w:t>$45</w:t>
            </w:r>
          </w:p>
        </w:tc>
        <w:tc>
          <w:tcPr>
            <w:tcW w:w="988" w:type="dxa"/>
          </w:tcPr>
          <w:p>
            <w:pPr>
              <w:pStyle w:val="TableParagraph"/>
              <w:ind w:right="99"/>
              <w:rPr>
                <w:sz w:val="20"/>
              </w:rPr>
            </w:pPr>
            <w:r>
              <w:rPr>
                <w:w w:val="95"/>
                <w:sz w:val="20"/>
              </w:rPr>
              <w:t>$125</w:t>
            </w:r>
          </w:p>
        </w:tc>
        <w:tc>
          <w:tcPr>
            <w:tcW w:w="1440" w:type="dxa"/>
          </w:tcPr>
          <w:p>
            <w:pPr>
              <w:pStyle w:val="TableParagraph"/>
              <w:ind w:right="96"/>
              <w:rPr>
                <w:sz w:val="20"/>
              </w:rPr>
            </w:pPr>
            <w:r>
              <w:rPr>
                <w:w w:val="95"/>
                <w:sz w:val="20"/>
              </w:rPr>
              <w:t>$90</w:t>
            </w:r>
          </w:p>
        </w:tc>
      </w:tr>
      <w:tr>
        <w:trPr>
          <w:trHeight w:val="928" w:hRule="atLeast"/>
        </w:trPr>
        <w:tc>
          <w:tcPr>
            <w:tcW w:w="8928" w:type="dxa"/>
            <w:gridSpan w:val="6"/>
            <w:tcBorders>
              <w:left w:val="single" w:sz="6" w:space="0" w:color="000000"/>
            </w:tcBorders>
          </w:tcPr>
          <w:p>
            <w:pPr>
              <w:pStyle w:val="TableParagraph"/>
              <w:ind w:left="105" w:right="0"/>
              <w:jc w:val="left"/>
              <w:rPr>
                <w:sz w:val="20"/>
              </w:rPr>
            </w:pPr>
            <w:r>
              <w:rPr>
                <w:sz w:val="20"/>
              </w:rPr>
              <w:t>Facilities Fees (custodial) $30/hour with a 4-hour minimum</w:t>
            </w:r>
          </w:p>
          <w:p>
            <w:pPr>
              <w:pStyle w:val="TableParagraph"/>
              <w:spacing w:line="240" w:lineRule="auto" w:before="5"/>
              <w:ind w:right="0"/>
              <w:jc w:val="left"/>
              <w:rPr>
                <w:b/>
                <w:sz w:val="20"/>
              </w:rPr>
            </w:pPr>
          </w:p>
          <w:p>
            <w:pPr>
              <w:pStyle w:val="TableParagraph"/>
              <w:spacing w:line="240" w:lineRule="auto"/>
              <w:ind w:left="105" w:right="0"/>
              <w:jc w:val="left"/>
              <w:rPr>
                <w:sz w:val="20"/>
              </w:rPr>
            </w:pPr>
            <w:r>
              <w:rPr>
                <w:sz w:val="20"/>
              </w:rPr>
              <w:t>A/V Equipment fees determined by IT</w:t>
            </w:r>
          </w:p>
        </w:tc>
      </w:tr>
    </w:tbl>
    <w:sectPr>
      <w:pgSz w:w="12240" w:h="15840"/>
      <w:pgMar w:top="1360" w:bottom="280" w:left="12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940" w:hanging="471"/>
        <w:jc w:val="right"/>
      </w:pPr>
      <w:rPr>
        <w:rFonts w:hint="default" w:ascii="Arial" w:hAnsi="Arial" w:eastAsia="Arial" w:cs="Arial"/>
        <w:spacing w:val="-1"/>
        <w:w w:val="99"/>
        <w:sz w:val="20"/>
        <w:szCs w:val="20"/>
        <w:lang w:val="en-us" w:eastAsia="en-us" w:bidi="en-us"/>
      </w:rPr>
    </w:lvl>
    <w:lvl w:ilvl="1">
      <w:start w:val="1"/>
      <w:numFmt w:val="upperLetter"/>
      <w:lvlText w:val="%2."/>
      <w:lvlJc w:val="left"/>
      <w:pPr>
        <w:ind w:left="1300" w:hanging="360"/>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231" w:hanging="360"/>
      </w:pPr>
      <w:rPr>
        <w:rFonts w:hint="default"/>
        <w:lang w:val="en-us" w:eastAsia="en-us" w:bidi="en-us"/>
      </w:rPr>
    </w:lvl>
    <w:lvl w:ilvl="3">
      <w:start w:val="0"/>
      <w:numFmt w:val="bullet"/>
      <w:lvlText w:val="•"/>
      <w:lvlJc w:val="left"/>
      <w:pPr>
        <w:ind w:left="3162" w:hanging="360"/>
      </w:pPr>
      <w:rPr>
        <w:rFonts w:hint="default"/>
        <w:lang w:val="en-us" w:eastAsia="en-us" w:bidi="en-us"/>
      </w:rPr>
    </w:lvl>
    <w:lvl w:ilvl="4">
      <w:start w:val="0"/>
      <w:numFmt w:val="bullet"/>
      <w:lvlText w:val="•"/>
      <w:lvlJc w:val="left"/>
      <w:pPr>
        <w:ind w:left="4093" w:hanging="360"/>
      </w:pPr>
      <w:rPr>
        <w:rFonts w:hint="default"/>
        <w:lang w:val="en-us" w:eastAsia="en-us" w:bidi="en-us"/>
      </w:rPr>
    </w:lvl>
    <w:lvl w:ilvl="5">
      <w:start w:val="0"/>
      <w:numFmt w:val="bullet"/>
      <w:lvlText w:val="•"/>
      <w:lvlJc w:val="left"/>
      <w:pPr>
        <w:ind w:left="5024" w:hanging="360"/>
      </w:pPr>
      <w:rPr>
        <w:rFonts w:hint="default"/>
        <w:lang w:val="en-us" w:eastAsia="en-us" w:bidi="en-us"/>
      </w:rPr>
    </w:lvl>
    <w:lvl w:ilvl="6">
      <w:start w:val="0"/>
      <w:numFmt w:val="bullet"/>
      <w:lvlText w:val="•"/>
      <w:lvlJc w:val="left"/>
      <w:pPr>
        <w:ind w:left="5955" w:hanging="360"/>
      </w:pPr>
      <w:rPr>
        <w:rFonts w:hint="default"/>
        <w:lang w:val="en-us" w:eastAsia="en-us" w:bidi="en-us"/>
      </w:rPr>
    </w:lvl>
    <w:lvl w:ilvl="7">
      <w:start w:val="0"/>
      <w:numFmt w:val="bullet"/>
      <w:lvlText w:val="•"/>
      <w:lvlJc w:val="left"/>
      <w:pPr>
        <w:ind w:left="6886" w:hanging="360"/>
      </w:pPr>
      <w:rPr>
        <w:rFonts w:hint="default"/>
        <w:lang w:val="en-us" w:eastAsia="en-us" w:bidi="en-us"/>
      </w:rPr>
    </w:lvl>
    <w:lvl w:ilvl="8">
      <w:start w:val="0"/>
      <w:numFmt w:val="bullet"/>
      <w:lvlText w:val="•"/>
      <w:lvlJc w:val="left"/>
      <w:pPr>
        <w:ind w:left="781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ind w:left="1300" w:hanging="360"/>
    </w:pPr>
    <w:rPr>
      <w:rFonts w:ascii="Arial" w:hAnsi="Arial" w:eastAsia="Arial" w:cs="Arial"/>
      <w:lang w:val="en-us" w:eastAsia="en-us" w:bidi="en-us"/>
    </w:rPr>
  </w:style>
  <w:style w:styleId="TableParagraph" w:type="paragraph">
    <w:name w:val="Table Paragraph"/>
    <w:basedOn w:val="Normal"/>
    <w:uiPriority w:val="1"/>
    <w:qFormat/>
    <w:pPr>
      <w:spacing w:line="229" w:lineRule="exact"/>
      <w:ind w:right="100"/>
      <w:jc w:val="righ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Fortin</dc:creator>
  <dcterms:created xsi:type="dcterms:W3CDTF">2019-11-22T17:29:16Z</dcterms:created>
  <dcterms:modified xsi:type="dcterms:W3CDTF">2019-11-22T17:29:16Z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2016</vt:lpwstr>
  </property>
  <property fmtid="{D5CDD505-2E9C-101B-9397-08002B2CF9AE}" pid="4" name="LastSaved">
    <vt:filetime>2019-11-22T00:00:00Z</vt:filetime>
  </property>
</Properties>
</file>