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5614C" w14:textId="51BB78F2" w:rsidR="00355B83" w:rsidRDefault="00E8752A">
      <w:pPr>
        <w:contextualSpacing w:val="0"/>
        <w:jc w:val="center"/>
        <w:rPr>
          <w:rFonts w:ascii="Times New Roman" w:eastAsia="Times New Roman" w:hAnsi="Times New Roman" w:cs="Times New Roman"/>
        </w:rPr>
      </w:pPr>
      <w:r>
        <w:rPr>
          <w:rFonts w:ascii="Times New Roman" w:eastAsia="Times New Roman" w:hAnsi="Times New Roman" w:cs="Times New Roman"/>
          <w:noProof/>
          <w:lang w:val="en-US"/>
        </w:rPr>
        <w:drawing>
          <wp:inline distT="114300" distB="114300" distL="114300" distR="114300" wp14:anchorId="1B56C4AA" wp14:editId="7874DC1A">
            <wp:extent cx="2686824" cy="976447"/>
            <wp:effectExtent l="0" t="0" r="0" b="1905"/>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extLst>
                        <a:ext uri="{28A0092B-C50C-407E-A947-70E740481C1C}">
                          <a14:useLocalDpi xmlns:a14="http://schemas.microsoft.com/office/drawing/2010/main" val="0"/>
                        </a:ext>
                      </a:extLst>
                    </a:blip>
                    <a:stretch>
                      <a:fillRect/>
                    </a:stretch>
                  </pic:blipFill>
                  <pic:spPr>
                    <a:xfrm>
                      <a:off x="0" y="0"/>
                      <a:ext cx="2686824" cy="976447"/>
                    </a:xfrm>
                    <a:prstGeom prst="rect">
                      <a:avLst/>
                    </a:prstGeom>
                    <a:ln/>
                  </pic:spPr>
                </pic:pic>
              </a:graphicData>
            </a:graphic>
          </wp:inline>
        </w:drawing>
      </w:r>
    </w:p>
    <w:p w14:paraId="637C5CF0" w14:textId="6F58DC6B" w:rsidR="007A1897" w:rsidRPr="00D36532" w:rsidRDefault="007A1897" w:rsidP="007A1897">
      <w:pPr>
        <w:spacing w:line="240" w:lineRule="auto"/>
        <w:contextualSpacing w:val="0"/>
        <w:rPr>
          <w:rFonts w:ascii="Times New Roman" w:eastAsia="Times New Roman" w:hAnsi="Times New Roman" w:cs="Times New Roman"/>
          <w:sz w:val="24"/>
          <w:szCs w:val="24"/>
          <w:lang w:val="en-US"/>
        </w:rPr>
      </w:pPr>
    </w:p>
    <w:p w14:paraId="361E7B74" w14:textId="77777777" w:rsidR="00A237AE" w:rsidRDefault="00A237AE" w:rsidP="00A237AE">
      <w:pPr>
        <w:spacing w:line="240" w:lineRule="auto"/>
        <w:contextualSpacing w:val="0"/>
        <w:rPr>
          <w:rFonts w:ascii="Times New Roman" w:eastAsia="Calibri" w:hAnsi="Times New Roman" w:cs="Times New Roman"/>
          <w:b/>
          <w:sz w:val="24"/>
          <w:lang w:val="en-US"/>
        </w:rPr>
      </w:pPr>
    </w:p>
    <w:p w14:paraId="47401494" w14:textId="77777777" w:rsidR="00A42314" w:rsidRPr="00A42314" w:rsidRDefault="00A42314" w:rsidP="00A42314">
      <w:pPr>
        <w:spacing w:after="160" w:line="240" w:lineRule="auto"/>
        <w:contextualSpacing w:val="0"/>
        <w:jc w:val="center"/>
        <w:rPr>
          <w:rFonts w:eastAsia="Calibri"/>
          <w:b/>
          <w:lang w:val="en-US"/>
        </w:rPr>
      </w:pPr>
      <w:r w:rsidRPr="00A42314">
        <w:rPr>
          <w:rFonts w:eastAsia="Calibri"/>
          <w:b/>
          <w:lang w:val="en-US"/>
        </w:rPr>
        <w:t>University of Maine at Augusta</w:t>
      </w:r>
    </w:p>
    <w:p w14:paraId="00623E6C" w14:textId="77777777" w:rsidR="00A42314" w:rsidRPr="00A42314" w:rsidRDefault="00A42314" w:rsidP="00A42314">
      <w:pPr>
        <w:spacing w:after="160" w:line="240" w:lineRule="auto"/>
        <w:contextualSpacing w:val="0"/>
        <w:jc w:val="center"/>
        <w:rPr>
          <w:rFonts w:eastAsia="Calibri"/>
          <w:b/>
          <w:lang w:val="en-US"/>
        </w:rPr>
      </w:pPr>
      <w:r w:rsidRPr="00A42314">
        <w:rPr>
          <w:rFonts w:eastAsia="Calibri"/>
          <w:b/>
          <w:lang w:val="en-US"/>
        </w:rPr>
        <w:t>CARES Act Funding Under Section 18004(a)(1) – Higher Education Emergency Relief Fund 50% for Student Aid</w:t>
      </w:r>
    </w:p>
    <w:p w14:paraId="540161BE" w14:textId="18C975B0" w:rsidR="00A42314" w:rsidRPr="00A42314" w:rsidRDefault="00A42314" w:rsidP="00A42314">
      <w:pPr>
        <w:spacing w:after="160" w:line="240" w:lineRule="auto"/>
        <w:contextualSpacing w:val="0"/>
        <w:jc w:val="center"/>
        <w:rPr>
          <w:rFonts w:eastAsia="Calibri"/>
          <w:b/>
          <w:lang w:val="en-US"/>
        </w:rPr>
      </w:pPr>
      <w:r w:rsidRPr="00A42314">
        <w:rPr>
          <w:rFonts w:eastAsia="Calibri"/>
          <w:b/>
          <w:lang w:val="en-US"/>
        </w:rPr>
        <w:t xml:space="preserve">45-Day Report – </w:t>
      </w:r>
      <w:r w:rsidR="00356D9A">
        <w:rPr>
          <w:rFonts w:eastAsia="Calibri"/>
          <w:b/>
          <w:lang w:val="en-US"/>
        </w:rPr>
        <w:t>January</w:t>
      </w:r>
      <w:r w:rsidRPr="00A42314">
        <w:rPr>
          <w:rFonts w:eastAsia="Calibri"/>
          <w:b/>
          <w:lang w:val="en-US"/>
        </w:rPr>
        <w:t xml:space="preserve"> 202</w:t>
      </w:r>
      <w:r w:rsidR="00356D9A">
        <w:rPr>
          <w:rFonts w:eastAsia="Calibri"/>
          <w:b/>
          <w:lang w:val="en-US"/>
        </w:rPr>
        <w:t>1</w:t>
      </w:r>
    </w:p>
    <w:p w14:paraId="540F8BD1" w14:textId="77777777" w:rsidR="00A42314" w:rsidRPr="00A42314" w:rsidRDefault="00A42314" w:rsidP="00A42314">
      <w:pPr>
        <w:spacing w:after="160" w:line="240" w:lineRule="auto"/>
        <w:contextualSpacing w:val="0"/>
        <w:rPr>
          <w:rFonts w:eastAsia="Calibri"/>
          <w:lang w:val="en-US"/>
        </w:rPr>
      </w:pPr>
      <w:r w:rsidRPr="00A42314">
        <w:rPr>
          <w:rFonts w:eastAsia="Calibri"/>
          <w:lang w:val="en-US"/>
        </w:rPr>
        <w:t>Sponsor:  U.S. Department of Education</w:t>
      </w:r>
    </w:p>
    <w:p w14:paraId="7373B853" w14:textId="77777777" w:rsidR="00A42314" w:rsidRPr="00A42314" w:rsidRDefault="00A42314" w:rsidP="00A42314">
      <w:pPr>
        <w:spacing w:after="160" w:line="240" w:lineRule="auto"/>
        <w:contextualSpacing w:val="0"/>
        <w:rPr>
          <w:rFonts w:eastAsia="Calibri"/>
          <w:lang w:val="en-US"/>
        </w:rPr>
      </w:pPr>
      <w:r w:rsidRPr="00A42314">
        <w:rPr>
          <w:rFonts w:eastAsia="Calibri"/>
          <w:lang w:val="en-US"/>
        </w:rPr>
        <w:t>Award Number:  P425E201758</w:t>
      </w:r>
    </w:p>
    <w:p w14:paraId="39733B78" w14:textId="77777777" w:rsidR="00A42314" w:rsidRPr="00A42314" w:rsidRDefault="00A42314" w:rsidP="00A42314">
      <w:pPr>
        <w:spacing w:after="160" w:line="240" w:lineRule="auto"/>
        <w:contextualSpacing w:val="0"/>
        <w:rPr>
          <w:rFonts w:eastAsia="Calibri"/>
          <w:lang w:val="en-US"/>
        </w:rPr>
      </w:pPr>
      <w:r w:rsidRPr="00A42314">
        <w:rPr>
          <w:rFonts w:eastAsia="Calibri"/>
          <w:lang w:val="en-US"/>
        </w:rPr>
        <w:t>Award Amount:  $675,763.00</w:t>
      </w:r>
    </w:p>
    <w:p w14:paraId="14BD330D" w14:textId="68021430" w:rsidR="00A42314" w:rsidRPr="00A42314" w:rsidRDefault="00A42314" w:rsidP="00A42314">
      <w:pPr>
        <w:spacing w:after="160" w:line="240" w:lineRule="auto"/>
        <w:contextualSpacing w:val="0"/>
        <w:rPr>
          <w:rFonts w:eastAsia="Calibri"/>
          <w:lang w:val="en-US"/>
        </w:rPr>
      </w:pPr>
      <w:r w:rsidRPr="00A42314">
        <w:rPr>
          <w:rFonts w:eastAsia="Calibri"/>
          <w:lang w:val="en-US"/>
        </w:rPr>
        <w:t>Report Period:  04/24/2020-0</w:t>
      </w:r>
      <w:r w:rsidR="00356D9A">
        <w:rPr>
          <w:rFonts w:eastAsia="Calibri"/>
          <w:lang w:val="en-US"/>
        </w:rPr>
        <w:t>1</w:t>
      </w:r>
      <w:r w:rsidRPr="00A42314">
        <w:rPr>
          <w:rFonts w:eastAsia="Calibri"/>
          <w:lang w:val="en-US"/>
        </w:rPr>
        <w:t>/</w:t>
      </w:r>
      <w:r w:rsidR="00356D9A">
        <w:rPr>
          <w:rFonts w:eastAsia="Calibri"/>
          <w:lang w:val="en-US"/>
        </w:rPr>
        <w:t>08</w:t>
      </w:r>
      <w:r w:rsidRPr="00A42314">
        <w:rPr>
          <w:rFonts w:eastAsia="Calibri"/>
          <w:lang w:val="en-US"/>
        </w:rPr>
        <w:t>/202</w:t>
      </w:r>
      <w:r w:rsidR="00356D9A">
        <w:rPr>
          <w:rFonts w:eastAsia="Calibri"/>
          <w:lang w:val="en-US"/>
        </w:rPr>
        <w:t>1</w:t>
      </w:r>
    </w:p>
    <w:p w14:paraId="395C4600" w14:textId="1BADB3AD" w:rsidR="00A42314" w:rsidRPr="00A42314" w:rsidRDefault="00A42314" w:rsidP="00A42314">
      <w:pPr>
        <w:spacing w:after="160" w:line="240" w:lineRule="auto"/>
        <w:contextualSpacing w:val="0"/>
        <w:rPr>
          <w:rFonts w:eastAsia="Calibri"/>
          <w:lang w:val="en-US"/>
        </w:rPr>
      </w:pPr>
      <w:r w:rsidRPr="00A42314">
        <w:rPr>
          <w:rFonts w:eastAsia="Calibri"/>
          <w:lang w:val="en-US"/>
        </w:rPr>
        <w:t>Report Date: 0</w:t>
      </w:r>
      <w:r w:rsidR="00356D9A">
        <w:rPr>
          <w:rFonts w:eastAsia="Calibri"/>
          <w:lang w:val="en-US"/>
        </w:rPr>
        <w:t>1</w:t>
      </w:r>
      <w:r w:rsidRPr="00A42314">
        <w:rPr>
          <w:rFonts w:eastAsia="Calibri"/>
          <w:lang w:val="en-US"/>
        </w:rPr>
        <w:t>/</w:t>
      </w:r>
      <w:r w:rsidR="00356D9A">
        <w:rPr>
          <w:rFonts w:eastAsia="Calibri"/>
          <w:lang w:val="en-US"/>
        </w:rPr>
        <w:t>08</w:t>
      </w:r>
      <w:r w:rsidRPr="00A42314">
        <w:rPr>
          <w:rFonts w:eastAsia="Calibri"/>
          <w:lang w:val="en-US"/>
        </w:rPr>
        <w:t>/202</w:t>
      </w:r>
      <w:r w:rsidR="00356D9A">
        <w:rPr>
          <w:rFonts w:eastAsia="Calibri"/>
          <w:lang w:val="en-US"/>
        </w:rPr>
        <w:t>1</w:t>
      </w:r>
    </w:p>
    <w:p w14:paraId="23F64465" w14:textId="77777777" w:rsidR="00A42314" w:rsidRPr="00A42314" w:rsidRDefault="00A42314" w:rsidP="00A42314">
      <w:pPr>
        <w:spacing w:after="160" w:line="240" w:lineRule="auto"/>
        <w:contextualSpacing w:val="0"/>
        <w:rPr>
          <w:rFonts w:eastAsia="Calibri"/>
          <w:b/>
          <w:u w:val="single"/>
          <w:lang w:val="en-US"/>
        </w:rPr>
      </w:pPr>
      <w:r w:rsidRPr="00A42314">
        <w:rPr>
          <w:rFonts w:eastAsia="Calibri"/>
          <w:b/>
          <w:u w:val="single"/>
          <w:lang w:val="en-US"/>
        </w:rPr>
        <w:t>Source and Purpose of Funds</w:t>
      </w:r>
    </w:p>
    <w:p w14:paraId="39AA9ABA" w14:textId="77777777" w:rsidR="00A42314" w:rsidRPr="00A42314" w:rsidRDefault="00A42314" w:rsidP="00A42314">
      <w:pPr>
        <w:spacing w:after="160" w:line="240" w:lineRule="auto"/>
        <w:contextualSpacing w:val="0"/>
        <w:rPr>
          <w:rFonts w:eastAsia="Calibri"/>
          <w:lang w:val="en-US"/>
        </w:rPr>
      </w:pPr>
      <w:r w:rsidRPr="00A42314">
        <w:rPr>
          <w:rFonts w:eastAsia="Calibri"/>
          <w:lang w:val="en-US"/>
        </w:rPr>
        <w:t xml:space="preserve">The University of Maine at Augusta (UMA) received the above award from the CARES Act passed by Congress and signed by the President on March 27, 2020 to provide emergency financial aid grants to eligible students for their expenses related to the disruption of our campus operations due to coronavirus. </w:t>
      </w:r>
    </w:p>
    <w:p w14:paraId="60FEA8B6" w14:textId="77777777" w:rsidR="00A42314" w:rsidRPr="00A42314" w:rsidRDefault="00A42314" w:rsidP="00A42314">
      <w:pPr>
        <w:spacing w:after="160" w:line="240" w:lineRule="auto"/>
        <w:contextualSpacing w:val="0"/>
        <w:rPr>
          <w:rFonts w:eastAsia="Times New Roman"/>
          <w:lang w:val="en-US"/>
        </w:rPr>
      </w:pPr>
      <w:r w:rsidRPr="00A42314">
        <w:rPr>
          <w:rFonts w:eastAsia="Calibri"/>
          <w:lang w:val="en-US"/>
        </w:rPr>
        <w:t xml:space="preserve">On April 16, 2020, UMA submitted the required </w:t>
      </w:r>
      <w:r w:rsidRPr="00A42314">
        <w:rPr>
          <w:rFonts w:eastAsia="Times New Roman"/>
          <w:lang w:val="en-US"/>
        </w:rPr>
        <w:t xml:space="preserve">Certification and Agreement (please link signed C&amp;A – from Jon) to the U.S. Department of Education (U.S. DOE) committing to use these funds to provide emergency aid directly to our eligible students. </w:t>
      </w:r>
    </w:p>
    <w:p w14:paraId="249B3179" w14:textId="77777777" w:rsidR="00A42314" w:rsidRPr="00A42314" w:rsidRDefault="00A42314" w:rsidP="00A42314">
      <w:pPr>
        <w:spacing w:after="160" w:line="240" w:lineRule="auto"/>
        <w:contextualSpacing w:val="0"/>
        <w:rPr>
          <w:rFonts w:eastAsia="Times New Roman"/>
          <w:b/>
          <w:u w:val="single"/>
          <w:lang w:val="en-US"/>
        </w:rPr>
      </w:pPr>
      <w:r w:rsidRPr="00A42314">
        <w:rPr>
          <w:rFonts w:eastAsia="Times New Roman"/>
          <w:b/>
          <w:u w:val="single"/>
          <w:lang w:val="en-US"/>
        </w:rPr>
        <w:t>Eligibility Requirements</w:t>
      </w:r>
    </w:p>
    <w:p w14:paraId="70C5C340" w14:textId="77777777" w:rsidR="00A42314" w:rsidRPr="00A42314" w:rsidRDefault="00A42314" w:rsidP="00A42314">
      <w:pPr>
        <w:spacing w:after="160" w:line="240" w:lineRule="auto"/>
        <w:contextualSpacing w:val="0"/>
        <w:rPr>
          <w:rFonts w:eastAsia="Calibri"/>
          <w:lang w:val="en-US"/>
        </w:rPr>
      </w:pPr>
      <w:r w:rsidRPr="00A42314">
        <w:rPr>
          <w:rFonts w:eastAsia="Times New Roman"/>
          <w:lang w:val="en-US"/>
        </w:rPr>
        <w:t>Consistent with the guidance from the U.S. DOE, eligible students include a</w:t>
      </w:r>
      <w:r w:rsidRPr="00A42314">
        <w:rPr>
          <w:rFonts w:eastAsia="Calibri"/>
          <w:lang w:val="en-US"/>
        </w:rPr>
        <w:t xml:space="preserve">ll students who were enrolled at UMA on March 13, 2020 and are </w:t>
      </w:r>
      <w:r w:rsidRPr="00A42314">
        <w:rPr>
          <w:rFonts w:eastAsia="Times New Roman"/>
          <w:lang w:val="en-US"/>
        </w:rPr>
        <w:t>eligible to participate in programs under Section 484 in Title IV of the Higher Education Act of 1965 (HEA)</w:t>
      </w:r>
      <w:r w:rsidRPr="00A42314">
        <w:rPr>
          <w:rFonts w:eastAsia="Calibri"/>
          <w:lang w:val="en-US"/>
        </w:rPr>
        <w:t xml:space="preserve">, with the following exceptions: </w:t>
      </w:r>
    </w:p>
    <w:p w14:paraId="6DE05559" w14:textId="77777777" w:rsidR="00A42314" w:rsidRPr="00A42314" w:rsidRDefault="00A42314" w:rsidP="00A42314">
      <w:pPr>
        <w:spacing w:after="160" w:line="240" w:lineRule="auto"/>
        <w:contextualSpacing w:val="0"/>
        <w:rPr>
          <w:rFonts w:eastAsia="Calibri"/>
          <w:lang w:val="en-US"/>
        </w:rPr>
      </w:pPr>
      <w:r w:rsidRPr="00A42314">
        <w:rPr>
          <w:rFonts w:eastAsia="Calibri"/>
          <w:lang w:val="en-US"/>
        </w:rPr>
        <w:t>- Non-degree seeking students</w:t>
      </w:r>
      <w:r w:rsidRPr="00A42314">
        <w:rPr>
          <w:rFonts w:eastAsia="Calibri"/>
          <w:lang w:val="en-US"/>
        </w:rPr>
        <w:br/>
        <w:t>- International or DACA students</w:t>
      </w:r>
      <w:r w:rsidRPr="00A42314">
        <w:rPr>
          <w:rFonts w:eastAsia="Calibri"/>
          <w:lang w:val="en-US"/>
        </w:rPr>
        <w:br/>
        <w:t>- Employees receiving UMS Employee Tuition benefits</w:t>
      </w:r>
      <w:r w:rsidRPr="00A42314">
        <w:rPr>
          <w:rFonts w:eastAsia="Calibri"/>
          <w:lang w:val="en-US"/>
        </w:rPr>
        <w:br/>
        <w:t>- Early College students</w:t>
      </w:r>
      <w:r w:rsidRPr="00A42314">
        <w:rPr>
          <w:rFonts w:eastAsia="Calibri"/>
          <w:lang w:val="en-US"/>
        </w:rPr>
        <w:br/>
        <w:t xml:space="preserve">- Students enrolled in exclusively online programs as of March 13, 2020. </w:t>
      </w:r>
      <w:r w:rsidRPr="00A42314">
        <w:rPr>
          <w:rFonts w:eastAsia="Calibri"/>
          <w:lang w:val="en-US"/>
        </w:rPr>
        <w:br/>
      </w:r>
      <w:r w:rsidRPr="00A42314">
        <w:rPr>
          <w:rFonts w:eastAsia="Calibri"/>
          <w:lang w:val="en-US"/>
        </w:rPr>
        <w:br/>
      </w:r>
      <w:r w:rsidRPr="00A42314">
        <w:rPr>
          <w:rFonts w:eastAsia="Times New Roman"/>
          <w:lang w:val="en-US"/>
        </w:rPr>
        <w:t>Students who did not have a FAFSA on file with the university were able to under the penalty of perjury to meeting the requirements of Section 484 of the HEA using a self-certification form.</w:t>
      </w:r>
    </w:p>
    <w:p w14:paraId="52373523" w14:textId="77777777" w:rsidR="00A42314" w:rsidRPr="00A42314" w:rsidRDefault="00A42314" w:rsidP="00A42314">
      <w:pPr>
        <w:spacing w:after="160" w:line="240" w:lineRule="auto"/>
        <w:contextualSpacing w:val="0"/>
        <w:rPr>
          <w:rFonts w:eastAsia="Times New Roman"/>
          <w:b/>
          <w:u w:val="single"/>
          <w:lang w:val="en-US"/>
        </w:rPr>
      </w:pPr>
      <w:r w:rsidRPr="00A42314">
        <w:rPr>
          <w:rFonts w:eastAsia="Times New Roman"/>
          <w:b/>
          <w:u w:val="single"/>
          <w:lang w:val="en-US"/>
        </w:rPr>
        <w:t>Distribution Plan</w:t>
      </w:r>
    </w:p>
    <w:p w14:paraId="2AFE58A8" w14:textId="77777777" w:rsidR="00A42314" w:rsidRPr="00A42314" w:rsidRDefault="00A42314" w:rsidP="00A42314">
      <w:pPr>
        <w:spacing w:after="160" w:line="240" w:lineRule="auto"/>
        <w:contextualSpacing w:val="0"/>
        <w:rPr>
          <w:rFonts w:eastAsia="Times New Roman"/>
          <w:lang w:val="en-US"/>
        </w:rPr>
      </w:pPr>
      <w:r w:rsidRPr="00A42314">
        <w:rPr>
          <w:rFonts w:eastAsia="Times New Roman"/>
          <w:lang w:val="en-US"/>
        </w:rPr>
        <w:t xml:space="preserve">Consistent with the other institutions within the University of Maine System, of which </w:t>
      </w:r>
      <w:r w:rsidRPr="00A42314">
        <w:rPr>
          <w:rFonts w:eastAsia="Calibri"/>
          <w:lang w:val="en-US"/>
        </w:rPr>
        <w:t xml:space="preserve">UMA </w:t>
      </w:r>
      <w:r w:rsidRPr="00A42314">
        <w:rPr>
          <w:rFonts w:eastAsia="Times New Roman"/>
          <w:lang w:val="en-US"/>
        </w:rPr>
        <w:t xml:space="preserve">is a part, and in acknowledgement that every one of our students experienced disruption when COVID-19 forced all courses to be transitioned to online delivery, </w:t>
      </w:r>
      <w:r w:rsidRPr="00A42314">
        <w:rPr>
          <w:rFonts w:eastAsia="Calibri"/>
          <w:lang w:val="en-US"/>
        </w:rPr>
        <w:t>UMA</w:t>
      </w:r>
      <w:r w:rsidRPr="00A42314">
        <w:rPr>
          <w:rFonts w:eastAsia="Times New Roman"/>
          <w:lang w:val="en-US"/>
        </w:rPr>
        <w:t xml:space="preserve"> will automatically distribute 85 percent of these funds to all eligible students. Award amounts will be tiered as follows based on the number of credit hours in which the student is enrolled as of March 13, 2020:</w:t>
      </w:r>
    </w:p>
    <w:p w14:paraId="7A9BEFCE" w14:textId="77777777" w:rsidR="00A42314" w:rsidRPr="00A42314" w:rsidRDefault="00A42314" w:rsidP="00A42314">
      <w:pPr>
        <w:spacing w:after="160" w:line="240" w:lineRule="auto"/>
        <w:contextualSpacing w:val="0"/>
        <w:rPr>
          <w:rFonts w:eastAsia="Times New Roman"/>
          <w:lang w:val="en-US"/>
        </w:rPr>
      </w:pPr>
      <w:r w:rsidRPr="00A42314">
        <w:rPr>
          <w:rFonts w:eastAsia="Times New Roman"/>
          <w:lang w:val="en-US"/>
        </w:rPr>
        <w:lastRenderedPageBreak/>
        <w:t>.1 – 5.99 Credit Hours:</w:t>
      </w:r>
      <w:r w:rsidRPr="00A42314">
        <w:rPr>
          <w:rFonts w:eastAsia="Times New Roman"/>
          <w:lang w:val="en-US"/>
        </w:rPr>
        <w:tab/>
        <w:t>$134</w:t>
      </w:r>
      <w:r w:rsidRPr="00A42314">
        <w:rPr>
          <w:rFonts w:eastAsia="Times New Roman"/>
          <w:lang w:val="en-US"/>
        </w:rPr>
        <w:br/>
        <w:t xml:space="preserve">6 – 11.99 Credit Hours: </w:t>
      </w:r>
      <w:r w:rsidRPr="00A42314">
        <w:rPr>
          <w:rFonts w:eastAsia="Times New Roman"/>
          <w:lang w:val="en-US"/>
        </w:rPr>
        <w:tab/>
        <w:t>$184</w:t>
      </w:r>
      <w:r w:rsidRPr="00A42314">
        <w:rPr>
          <w:rFonts w:eastAsia="Times New Roman"/>
          <w:lang w:val="en-US"/>
        </w:rPr>
        <w:br/>
        <w:t xml:space="preserve">12+ Credit Hours: </w:t>
      </w:r>
      <w:r w:rsidRPr="00A42314">
        <w:rPr>
          <w:rFonts w:eastAsia="Times New Roman"/>
          <w:lang w:val="en-US"/>
        </w:rPr>
        <w:tab/>
      </w:r>
      <w:r w:rsidRPr="00A42314">
        <w:rPr>
          <w:rFonts w:eastAsia="Times New Roman"/>
          <w:lang w:val="en-US"/>
        </w:rPr>
        <w:tab/>
        <w:t>$234</w:t>
      </w:r>
    </w:p>
    <w:p w14:paraId="4B4BBCAD" w14:textId="77777777" w:rsidR="00A42314" w:rsidRPr="00A42314" w:rsidRDefault="00A42314" w:rsidP="00A42314">
      <w:pPr>
        <w:spacing w:after="160" w:line="240" w:lineRule="auto"/>
        <w:contextualSpacing w:val="0"/>
        <w:rPr>
          <w:rFonts w:eastAsia="Times New Roman"/>
          <w:shd w:val="clear" w:color="auto" w:fill="FFFFFF"/>
          <w:lang w:val="en-US"/>
        </w:rPr>
      </w:pPr>
      <w:r w:rsidRPr="00A42314">
        <w:rPr>
          <w:rFonts w:eastAsia="Calibri"/>
          <w:lang w:val="en-US"/>
        </w:rPr>
        <w:t xml:space="preserve">The remaining </w:t>
      </w:r>
      <w:r w:rsidRPr="00A42314">
        <w:rPr>
          <w:rFonts w:eastAsia="Times New Roman"/>
          <w:shd w:val="clear" w:color="auto" w:fill="FFFFFF"/>
          <w:lang w:val="en-US"/>
        </w:rPr>
        <w:t>15 percent of the CARES student aid is being made available by application to eligible students who self-identify with additional need as a result of the disruption to campus operations caused by COVID-19. As we communicated to the entire student body on May 4, 2020, students may apply for those funds here (</w:t>
      </w:r>
      <w:hyperlink r:id="rId7" w:history="1">
        <w:r w:rsidRPr="00A42314">
          <w:rPr>
            <w:rFonts w:eastAsia="Times New Roman"/>
            <w:u w:val="single"/>
            <w:shd w:val="clear" w:color="auto" w:fill="FFFFFF"/>
            <w:lang w:val="en-US"/>
          </w:rPr>
          <w:t>link communication and application page</w:t>
        </w:r>
      </w:hyperlink>
      <w:r w:rsidRPr="00A42314">
        <w:rPr>
          <w:rFonts w:eastAsia="Times New Roman"/>
          <w:shd w:val="clear" w:color="auto" w:fill="FFFFFF"/>
          <w:lang w:val="en-US"/>
        </w:rPr>
        <w:t>).</w:t>
      </w:r>
    </w:p>
    <w:p w14:paraId="33922904" w14:textId="77777777" w:rsidR="00A42314" w:rsidRPr="00A42314" w:rsidRDefault="00A42314" w:rsidP="00A42314">
      <w:pPr>
        <w:spacing w:after="160" w:line="240" w:lineRule="auto"/>
        <w:contextualSpacing w:val="0"/>
        <w:rPr>
          <w:rFonts w:eastAsia="Calibri"/>
          <w:lang w:val="en-US"/>
        </w:rPr>
      </w:pPr>
      <w:r w:rsidRPr="00A42314">
        <w:rPr>
          <w:rFonts w:eastAsia="Calibri"/>
          <w:lang w:val="en-US"/>
        </w:rPr>
        <w:t xml:space="preserve">In some cases, emergency funds may have been supplemented with a portion of CARES dollars intended for institutional relief.  </w:t>
      </w:r>
    </w:p>
    <w:p w14:paraId="093C5513" w14:textId="77777777" w:rsidR="00A42314" w:rsidRPr="00A42314" w:rsidRDefault="00A42314" w:rsidP="00A42314">
      <w:pPr>
        <w:spacing w:after="160" w:line="240" w:lineRule="auto"/>
        <w:contextualSpacing w:val="0"/>
        <w:rPr>
          <w:rFonts w:eastAsia="Calibri"/>
          <w:lang w:val="en-US"/>
        </w:rPr>
      </w:pPr>
      <w:r w:rsidRPr="00A42314">
        <w:rPr>
          <w:rFonts w:eastAsia="Calibri"/>
          <w:lang w:val="en-US"/>
        </w:rPr>
        <w:t xml:space="preserve">All distributions to student will be made via direct deposit or check. Because the IRS considers the CARES student funds as a “qualified disaster relief payment,” they are not considered taxable income. </w:t>
      </w:r>
    </w:p>
    <w:p w14:paraId="6A986C7A" w14:textId="77777777" w:rsidR="00A42314" w:rsidRPr="00A42314" w:rsidRDefault="00A42314" w:rsidP="00A42314">
      <w:pPr>
        <w:spacing w:after="160" w:line="240" w:lineRule="auto"/>
        <w:contextualSpacing w:val="0"/>
        <w:rPr>
          <w:rFonts w:eastAsia="Calibri"/>
          <w:b/>
          <w:u w:val="single"/>
          <w:lang w:val="en-US"/>
        </w:rPr>
      </w:pPr>
      <w:r w:rsidRPr="00A42314">
        <w:rPr>
          <w:rFonts w:eastAsia="Calibri"/>
          <w:b/>
          <w:u w:val="single"/>
          <w:lang w:val="en-US"/>
        </w:rPr>
        <w:t>Disbursements To-Date</w:t>
      </w:r>
    </w:p>
    <w:tbl>
      <w:tblPr>
        <w:tblStyle w:val="TableGrid"/>
        <w:tblW w:w="0" w:type="auto"/>
        <w:tblLook w:val="04A0" w:firstRow="1" w:lastRow="0" w:firstColumn="1" w:lastColumn="0" w:noHBand="0" w:noVBand="1"/>
      </w:tblPr>
      <w:tblGrid>
        <w:gridCol w:w="2155"/>
        <w:gridCol w:w="1800"/>
        <w:gridCol w:w="1890"/>
        <w:gridCol w:w="1890"/>
        <w:gridCol w:w="1615"/>
      </w:tblGrid>
      <w:tr w:rsidR="00A42314" w:rsidRPr="00A42314" w14:paraId="5D96D1CE" w14:textId="77777777" w:rsidTr="007C44B0">
        <w:tc>
          <w:tcPr>
            <w:tcW w:w="2155" w:type="dxa"/>
          </w:tcPr>
          <w:p w14:paraId="74867576" w14:textId="77777777" w:rsidR="00A42314" w:rsidRPr="00A42314" w:rsidRDefault="00A42314" w:rsidP="00A42314">
            <w:pPr>
              <w:jc w:val="center"/>
            </w:pPr>
            <w:r w:rsidRPr="00A42314">
              <w:t>Distribution Type</w:t>
            </w:r>
          </w:p>
          <w:p w14:paraId="65551458" w14:textId="77777777" w:rsidR="00A42314" w:rsidRPr="00A42314" w:rsidRDefault="00A42314" w:rsidP="00A42314">
            <w:pPr>
              <w:jc w:val="center"/>
            </w:pPr>
          </w:p>
        </w:tc>
        <w:tc>
          <w:tcPr>
            <w:tcW w:w="1800" w:type="dxa"/>
          </w:tcPr>
          <w:p w14:paraId="0BFA6424" w14:textId="77777777" w:rsidR="00A42314" w:rsidRPr="00A42314" w:rsidRDefault="00A42314" w:rsidP="00A42314">
            <w:pPr>
              <w:jc w:val="center"/>
            </w:pPr>
            <w:r w:rsidRPr="00A42314">
              <w:t>Number of Eligible Students</w:t>
            </w:r>
          </w:p>
        </w:tc>
        <w:tc>
          <w:tcPr>
            <w:tcW w:w="1890" w:type="dxa"/>
          </w:tcPr>
          <w:p w14:paraId="1FE06956" w14:textId="77777777" w:rsidR="00A42314" w:rsidRPr="00A42314" w:rsidRDefault="00A42314" w:rsidP="00A42314">
            <w:pPr>
              <w:jc w:val="center"/>
            </w:pPr>
            <w:r w:rsidRPr="00A42314">
              <w:t>Number of Students To Which Aid Has Been Distributed</w:t>
            </w:r>
          </w:p>
        </w:tc>
        <w:tc>
          <w:tcPr>
            <w:tcW w:w="1890" w:type="dxa"/>
          </w:tcPr>
          <w:p w14:paraId="7F35BAD1" w14:textId="77777777" w:rsidR="00A42314" w:rsidRPr="00A42314" w:rsidRDefault="00A42314" w:rsidP="00A42314">
            <w:pPr>
              <w:jc w:val="center"/>
            </w:pPr>
            <w:r w:rsidRPr="00A42314">
              <w:t>Total Amount of Aid That Has Been Distributed</w:t>
            </w:r>
          </w:p>
        </w:tc>
        <w:tc>
          <w:tcPr>
            <w:tcW w:w="1615" w:type="dxa"/>
          </w:tcPr>
          <w:p w14:paraId="4B4CD511" w14:textId="77777777" w:rsidR="00A42314" w:rsidRPr="00A42314" w:rsidRDefault="00A42314" w:rsidP="00A42314">
            <w:pPr>
              <w:jc w:val="center"/>
            </w:pPr>
            <w:r w:rsidRPr="00A42314">
              <w:t>Amount of Funds Remaining for Disbursement</w:t>
            </w:r>
          </w:p>
        </w:tc>
      </w:tr>
      <w:tr w:rsidR="00A42314" w:rsidRPr="00A42314" w14:paraId="254C1E15" w14:textId="77777777" w:rsidTr="007C44B0">
        <w:tc>
          <w:tcPr>
            <w:tcW w:w="2155" w:type="dxa"/>
          </w:tcPr>
          <w:p w14:paraId="7DFBA380" w14:textId="77777777" w:rsidR="00A42314" w:rsidRPr="00A42314" w:rsidRDefault="00A42314" w:rsidP="00A42314">
            <w:pPr>
              <w:jc w:val="center"/>
            </w:pPr>
            <w:r w:rsidRPr="00A42314">
              <w:t>Automatic</w:t>
            </w:r>
          </w:p>
        </w:tc>
        <w:tc>
          <w:tcPr>
            <w:tcW w:w="1800" w:type="dxa"/>
            <w:shd w:val="clear" w:color="auto" w:fill="auto"/>
          </w:tcPr>
          <w:p w14:paraId="39BC5345" w14:textId="77777777" w:rsidR="00A42314" w:rsidRPr="00A42314" w:rsidRDefault="00A42314" w:rsidP="00A42314">
            <w:pPr>
              <w:jc w:val="center"/>
            </w:pPr>
            <w:r w:rsidRPr="00A42314">
              <w:t>2,880</w:t>
            </w:r>
          </w:p>
        </w:tc>
        <w:tc>
          <w:tcPr>
            <w:tcW w:w="1890" w:type="dxa"/>
            <w:shd w:val="clear" w:color="auto" w:fill="auto"/>
          </w:tcPr>
          <w:p w14:paraId="08D35BF5" w14:textId="0F1EA6B5" w:rsidR="00A42314" w:rsidRPr="00A42314" w:rsidRDefault="001B15EF" w:rsidP="001B15EF">
            <w:pPr>
              <w:jc w:val="center"/>
            </w:pPr>
            <w:r w:rsidRPr="001B15EF">
              <w:t>2</w:t>
            </w:r>
            <w:r>
              <w:t>,</w:t>
            </w:r>
            <w:r w:rsidRPr="001B15EF">
              <w:t>791</w:t>
            </w:r>
          </w:p>
        </w:tc>
        <w:tc>
          <w:tcPr>
            <w:tcW w:w="1890" w:type="dxa"/>
            <w:shd w:val="clear" w:color="auto" w:fill="auto"/>
          </w:tcPr>
          <w:p w14:paraId="2F7B69F9" w14:textId="123A9450" w:rsidR="00A42314" w:rsidRPr="00A42314" w:rsidRDefault="00BC4157" w:rsidP="001B15EF">
            <w:pPr>
              <w:jc w:val="center"/>
            </w:pPr>
            <w:r w:rsidRPr="00BC4157">
              <w:t>$</w:t>
            </w:r>
            <w:r w:rsidR="001B15EF" w:rsidRPr="001B15EF">
              <w:t>574</w:t>
            </w:r>
            <w:r w:rsidR="001B15EF">
              <w:t>,</w:t>
            </w:r>
            <w:r w:rsidR="001B15EF" w:rsidRPr="001B15EF">
              <w:t>256.68</w:t>
            </w:r>
          </w:p>
        </w:tc>
        <w:tc>
          <w:tcPr>
            <w:tcW w:w="1615" w:type="dxa"/>
            <w:shd w:val="clear" w:color="auto" w:fill="auto"/>
          </w:tcPr>
          <w:p w14:paraId="2C9D3021" w14:textId="00313598" w:rsidR="00A42314" w:rsidRPr="00A42314" w:rsidRDefault="00BC4157" w:rsidP="001B15EF">
            <w:pPr>
              <w:jc w:val="center"/>
            </w:pPr>
            <w:r w:rsidRPr="00BC4157">
              <w:t>$</w:t>
            </w:r>
            <w:r w:rsidR="001B15EF" w:rsidRPr="001B15EF">
              <w:t>141.8</w:t>
            </w:r>
            <w:r w:rsidR="001B15EF">
              <w:t>7</w:t>
            </w:r>
          </w:p>
        </w:tc>
      </w:tr>
      <w:tr w:rsidR="00A42314" w:rsidRPr="00A42314" w14:paraId="66D722A1" w14:textId="77777777" w:rsidTr="007C44B0">
        <w:tc>
          <w:tcPr>
            <w:tcW w:w="2155" w:type="dxa"/>
          </w:tcPr>
          <w:p w14:paraId="6F15F68A" w14:textId="77777777" w:rsidR="007C44B0" w:rsidRDefault="00A42314" w:rsidP="007C44B0">
            <w:pPr>
              <w:jc w:val="center"/>
            </w:pPr>
            <w:r w:rsidRPr="00A42314">
              <w:t>Application</w:t>
            </w:r>
          </w:p>
          <w:p w14:paraId="742AD907" w14:textId="05963904" w:rsidR="00A42314" w:rsidRPr="00A42314" w:rsidRDefault="007C44B0" w:rsidP="007C44B0">
            <w:pPr>
              <w:jc w:val="center"/>
            </w:pPr>
            <w:bookmarkStart w:id="0" w:name="_GoBack"/>
            <w:bookmarkEnd w:id="0"/>
            <w:r>
              <w:t xml:space="preserve"> (Spring 2020)</w:t>
            </w:r>
          </w:p>
        </w:tc>
        <w:tc>
          <w:tcPr>
            <w:tcW w:w="1800" w:type="dxa"/>
            <w:shd w:val="clear" w:color="auto" w:fill="auto"/>
          </w:tcPr>
          <w:p w14:paraId="2AD4D3BC" w14:textId="77777777" w:rsidR="00A42314" w:rsidRPr="00A42314" w:rsidRDefault="00A42314" w:rsidP="00A42314">
            <w:pPr>
              <w:jc w:val="center"/>
            </w:pPr>
            <w:r w:rsidRPr="00A42314">
              <w:t>2,880</w:t>
            </w:r>
          </w:p>
        </w:tc>
        <w:tc>
          <w:tcPr>
            <w:tcW w:w="1890" w:type="dxa"/>
            <w:shd w:val="clear" w:color="auto" w:fill="auto"/>
          </w:tcPr>
          <w:p w14:paraId="41CBA63E" w14:textId="2966D6A8" w:rsidR="00A42314" w:rsidRPr="00A42314" w:rsidRDefault="00BC4157" w:rsidP="00A42314">
            <w:pPr>
              <w:jc w:val="center"/>
            </w:pPr>
            <w:r>
              <w:t xml:space="preserve">   247</w:t>
            </w:r>
          </w:p>
        </w:tc>
        <w:tc>
          <w:tcPr>
            <w:tcW w:w="1890" w:type="dxa"/>
            <w:shd w:val="clear" w:color="auto" w:fill="auto"/>
          </w:tcPr>
          <w:p w14:paraId="3CB57549" w14:textId="6C978376" w:rsidR="00A42314" w:rsidRPr="00A42314" w:rsidRDefault="00BC4157" w:rsidP="001B15EF">
            <w:pPr>
              <w:jc w:val="center"/>
            </w:pPr>
            <w:r w:rsidRPr="00BC4157">
              <w:t>$</w:t>
            </w:r>
            <w:r w:rsidR="001B15EF" w:rsidRPr="001B15EF">
              <w:t>101</w:t>
            </w:r>
            <w:r w:rsidR="001B15EF">
              <w:t>,</w:t>
            </w:r>
            <w:r w:rsidR="001B15EF" w:rsidRPr="001B15EF">
              <w:t>322.32</w:t>
            </w:r>
          </w:p>
        </w:tc>
        <w:tc>
          <w:tcPr>
            <w:tcW w:w="1615" w:type="dxa"/>
            <w:shd w:val="clear" w:color="auto" w:fill="auto"/>
          </w:tcPr>
          <w:p w14:paraId="1861466B" w14:textId="0AA0A4D7" w:rsidR="00A42314" w:rsidRPr="00A42314" w:rsidRDefault="00BC4157" w:rsidP="00A42314">
            <w:pPr>
              <w:jc w:val="center"/>
            </w:pPr>
            <w:r w:rsidRPr="00BC4157">
              <w:t>$</w:t>
            </w:r>
            <w:r w:rsidR="001B15EF">
              <w:t xml:space="preserve"> </w:t>
            </w:r>
            <w:r w:rsidRPr="00BC4157">
              <w:t>42.13</w:t>
            </w:r>
          </w:p>
        </w:tc>
      </w:tr>
      <w:tr w:rsidR="00A42314" w:rsidRPr="00A42314" w14:paraId="70222B06" w14:textId="77777777" w:rsidTr="007C44B0">
        <w:tc>
          <w:tcPr>
            <w:tcW w:w="2155" w:type="dxa"/>
          </w:tcPr>
          <w:p w14:paraId="66585753" w14:textId="77777777" w:rsidR="00A42314" w:rsidRPr="00A42314" w:rsidRDefault="00A42314" w:rsidP="00A42314">
            <w:pPr>
              <w:jc w:val="center"/>
            </w:pPr>
            <w:r w:rsidRPr="00A42314">
              <w:t>Total</w:t>
            </w:r>
          </w:p>
        </w:tc>
        <w:tc>
          <w:tcPr>
            <w:tcW w:w="1800" w:type="dxa"/>
            <w:shd w:val="clear" w:color="auto" w:fill="auto"/>
          </w:tcPr>
          <w:p w14:paraId="661AE703" w14:textId="77777777" w:rsidR="00A42314" w:rsidRPr="00A42314" w:rsidRDefault="00A42314" w:rsidP="00A42314">
            <w:pPr>
              <w:jc w:val="center"/>
            </w:pPr>
            <w:r w:rsidRPr="00A42314">
              <w:t>2,880</w:t>
            </w:r>
          </w:p>
        </w:tc>
        <w:tc>
          <w:tcPr>
            <w:tcW w:w="1890" w:type="dxa"/>
            <w:shd w:val="clear" w:color="auto" w:fill="auto"/>
          </w:tcPr>
          <w:p w14:paraId="311D5274" w14:textId="55A918A6" w:rsidR="00A42314" w:rsidRPr="00A42314" w:rsidRDefault="001B15EF" w:rsidP="001B15EF">
            <w:pPr>
              <w:jc w:val="center"/>
            </w:pPr>
            <w:r>
              <w:t>3</w:t>
            </w:r>
            <w:r w:rsidR="00BC4157">
              <w:t>,</w:t>
            </w:r>
            <w:r>
              <w:t>038</w:t>
            </w:r>
          </w:p>
        </w:tc>
        <w:tc>
          <w:tcPr>
            <w:tcW w:w="1890" w:type="dxa"/>
            <w:shd w:val="clear" w:color="auto" w:fill="auto"/>
          </w:tcPr>
          <w:p w14:paraId="4CF1095A" w14:textId="60303BE0" w:rsidR="00A42314" w:rsidRPr="00A42314" w:rsidRDefault="00BC4157" w:rsidP="001B15EF">
            <w:pPr>
              <w:jc w:val="center"/>
            </w:pPr>
            <w:r w:rsidRPr="00BC4157">
              <w:t>$6</w:t>
            </w:r>
            <w:r w:rsidR="001B15EF">
              <w:t>75</w:t>
            </w:r>
            <w:r w:rsidRPr="00BC4157">
              <w:t>,</w:t>
            </w:r>
            <w:r w:rsidR="001B15EF">
              <w:t>579</w:t>
            </w:r>
            <w:r w:rsidRPr="00BC4157">
              <w:t>.</w:t>
            </w:r>
            <w:r w:rsidR="001B15EF">
              <w:t>00</w:t>
            </w:r>
          </w:p>
        </w:tc>
        <w:tc>
          <w:tcPr>
            <w:tcW w:w="1615" w:type="dxa"/>
            <w:shd w:val="clear" w:color="auto" w:fill="auto"/>
          </w:tcPr>
          <w:p w14:paraId="56009A09" w14:textId="508F0A21" w:rsidR="00A42314" w:rsidRPr="00A42314" w:rsidRDefault="00BC4157" w:rsidP="001B15EF">
            <w:pPr>
              <w:jc w:val="center"/>
            </w:pPr>
            <w:r w:rsidRPr="00BC4157">
              <w:t>$</w:t>
            </w:r>
            <w:r w:rsidR="001B15EF">
              <w:t>184</w:t>
            </w:r>
            <w:r w:rsidR="00A81719">
              <w:t>.</w:t>
            </w:r>
            <w:r w:rsidR="001B15EF">
              <w:t>00</w:t>
            </w:r>
          </w:p>
        </w:tc>
      </w:tr>
    </w:tbl>
    <w:p w14:paraId="69D98AA0" w14:textId="77777777" w:rsidR="00A42314" w:rsidRPr="00A42314" w:rsidRDefault="00A42314" w:rsidP="00A42314">
      <w:pPr>
        <w:spacing w:after="160" w:line="240" w:lineRule="auto"/>
        <w:contextualSpacing w:val="0"/>
        <w:jc w:val="center"/>
        <w:rPr>
          <w:rFonts w:eastAsia="Calibri"/>
          <w:lang w:val="en-US"/>
        </w:rPr>
      </w:pPr>
    </w:p>
    <w:sectPr w:rsidR="00A42314" w:rsidRPr="00A42314" w:rsidSect="00DE2BF4">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53724" w14:textId="77777777" w:rsidR="0024093E" w:rsidRDefault="0024093E" w:rsidP="0024093E">
      <w:pPr>
        <w:spacing w:line="240" w:lineRule="auto"/>
      </w:pPr>
      <w:r>
        <w:separator/>
      </w:r>
    </w:p>
  </w:endnote>
  <w:endnote w:type="continuationSeparator" w:id="0">
    <w:p w14:paraId="648B18F3" w14:textId="77777777" w:rsidR="0024093E" w:rsidRDefault="0024093E" w:rsidP="00240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57840" w14:textId="77777777" w:rsidR="0024093E" w:rsidRDefault="00240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398450"/>
      <w:docPartObj>
        <w:docPartGallery w:val="Page Numbers (Bottom of Page)"/>
        <w:docPartUnique/>
      </w:docPartObj>
    </w:sdtPr>
    <w:sdtEndPr>
      <w:rPr>
        <w:noProof/>
      </w:rPr>
    </w:sdtEndPr>
    <w:sdtContent>
      <w:p w14:paraId="67A5BEEA" w14:textId="3D07B4C1" w:rsidR="0024093E" w:rsidRDefault="0024093E">
        <w:pPr>
          <w:pStyle w:val="Footer"/>
          <w:jc w:val="right"/>
        </w:pPr>
        <w:r>
          <w:fldChar w:fldCharType="begin"/>
        </w:r>
        <w:r>
          <w:instrText xml:space="preserve"> PAGE   \* MERGEFORMAT </w:instrText>
        </w:r>
        <w:r>
          <w:fldChar w:fldCharType="separate"/>
        </w:r>
        <w:r w:rsidR="007C44B0">
          <w:rPr>
            <w:noProof/>
          </w:rPr>
          <w:t>2</w:t>
        </w:r>
        <w:r>
          <w:rPr>
            <w:noProof/>
          </w:rPr>
          <w:fldChar w:fldCharType="end"/>
        </w:r>
      </w:p>
    </w:sdtContent>
  </w:sdt>
  <w:p w14:paraId="655CC0F3" w14:textId="77777777" w:rsidR="0024093E" w:rsidRDefault="00240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E99C" w14:textId="77777777" w:rsidR="0024093E" w:rsidRDefault="00240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74314" w14:textId="77777777" w:rsidR="0024093E" w:rsidRDefault="0024093E" w:rsidP="0024093E">
      <w:pPr>
        <w:spacing w:line="240" w:lineRule="auto"/>
      </w:pPr>
      <w:r>
        <w:separator/>
      </w:r>
    </w:p>
  </w:footnote>
  <w:footnote w:type="continuationSeparator" w:id="0">
    <w:p w14:paraId="2FDB5B98" w14:textId="77777777" w:rsidR="0024093E" w:rsidRDefault="0024093E" w:rsidP="002409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90FC" w14:textId="77777777" w:rsidR="0024093E" w:rsidRDefault="00240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12C85" w14:textId="77777777" w:rsidR="0024093E" w:rsidRDefault="00240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56B8A" w14:textId="77777777" w:rsidR="0024093E" w:rsidRDefault="002409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83"/>
    <w:rsid w:val="0003652A"/>
    <w:rsid w:val="00105620"/>
    <w:rsid w:val="001B15EF"/>
    <w:rsid w:val="001C0D91"/>
    <w:rsid w:val="001F3074"/>
    <w:rsid w:val="0024093E"/>
    <w:rsid w:val="0024310D"/>
    <w:rsid w:val="00280120"/>
    <w:rsid w:val="002D5577"/>
    <w:rsid w:val="002E0DDD"/>
    <w:rsid w:val="00355B83"/>
    <w:rsid w:val="00356D9A"/>
    <w:rsid w:val="0039100A"/>
    <w:rsid w:val="00413F68"/>
    <w:rsid w:val="00420D95"/>
    <w:rsid w:val="00444C13"/>
    <w:rsid w:val="0048645E"/>
    <w:rsid w:val="005C7A1D"/>
    <w:rsid w:val="005E21A9"/>
    <w:rsid w:val="00656EC6"/>
    <w:rsid w:val="006658F7"/>
    <w:rsid w:val="006C4047"/>
    <w:rsid w:val="00731535"/>
    <w:rsid w:val="00741CF3"/>
    <w:rsid w:val="0077592E"/>
    <w:rsid w:val="007A1897"/>
    <w:rsid w:val="007C44B0"/>
    <w:rsid w:val="009C4C6C"/>
    <w:rsid w:val="00A237AE"/>
    <w:rsid w:val="00A42314"/>
    <w:rsid w:val="00A62568"/>
    <w:rsid w:val="00A81719"/>
    <w:rsid w:val="00A83EBE"/>
    <w:rsid w:val="00B104EC"/>
    <w:rsid w:val="00B2293B"/>
    <w:rsid w:val="00B25DD4"/>
    <w:rsid w:val="00BC0AC0"/>
    <w:rsid w:val="00BC4157"/>
    <w:rsid w:val="00C73BC4"/>
    <w:rsid w:val="00CE261D"/>
    <w:rsid w:val="00D36532"/>
    <w:rsid w:val="00D45619"/>
    <w:rsid w:val="00DE2BF4"/>
    <w:rsid w:val="00DF08C8"/>
    <w:rsid w:val="00E8752A"/>
    <w:rsid w:val="00EB68EE"/>
    <w:rsid w:val="00EC4FB0"/>
    <w:rsid w:val="00EE0618"/>
    <w:rsid w:val="00F3746E"/>
    <w:rsid w:val="00F74EF1"/>
    <w:rsid w:val="00F914E0"/>
    <w:rsid w:val="00F92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163C"/>
  <w15:docId w15:val="{4E58E51E-CA86-4B65-9161-1D7599A9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4093E"/>
    <w:pPr>
      <w:tabs>
        <w:tab w:val="center" w:pos="4680"/>
        <w:tab w:val="right" w:pos="9360"/>
      </w:tabs>
      <w:spacing w:line="240" w:lineRule="auto"/>
    </w:pPr>
  </w:style>
  <w:style w:type="character" w:customStyle="1" w:styleId="HeaderChar">
    <w:name w:val="Header Char"/>
    <w:basedOn w:val="DefaultParagraphFont"/>
    <w:link w:val="Header"/>
    <w:uiPriority w:val="99"/>
    <w:rsid w:val="0024093E"/>
  </w:style>
  <w:style w:type="paragraph" w:styleId="Footer">
    <w:name w:val="footer"/>
    <w:basedOn w:val="Normal"/>
    <w:link w:val="FooterChar"/>
    <w:uiPriority w:val="99"/>
    <w:unhideWhenUsed/>
    <w:rsid w:val="0024093E"/>
    <w:pPr>
      <w:tabs>
        <w:tab w:val="center" w:pos="4680"/>
        <w:tab w:val="right" w:pos="9360"/>
      </w:tabs>
      <w:spacing w:line="240" w:lineRule="auto"/>
    </w:pPr>
  </w:style>
  <w:style w:type="character" w:customStyle="1" w:styleId="FooterChar">
    <w:name w:val="Footer Char"/>
    <w:basedOn w:val="DefaultParagraphFont"/>
    <w:link w:val="Footer"/>
    <w:uiPriority w:val="99"/>
    <w:rsid w:val="0024093E"/>
  </w:style>
  <w:style w:type="character" w:styleId="Hyperlink">
    <w:name w:val="Hyperlink"/>
    <w:basedOn w:val="DefaultParagraphFont"/>
    <w:uiPriority w:val="99"/>
    <w:unhideWhenUsed/>
    <w:rsid w:val="00A83EBE"/>
    <w:rPr>
      <w:color w:val="0000FF" w:themeColor="hyperlink"/>
      <w:u w:val="single"/>
    </w:rPr>
  </w:style>
  <w:style w:type="table" w:styleId="TableGrid">
    <w:name w:val="Table Grid"/>
    <w:basedOn w:val="TableNormal"/>
    <w:uiPriority w:val="39"/>
    <w:rsid w:val="00A42314"/>
    <w:pPr>
      <w:spacing w:line="240" w:lineRule="auto"/>
      <w:contextualSpacing w:val="0"/>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272">
      <w:bodyDiv w:val="1"/>
      <w:marLeft w:val="0"/>
      <w:marRight w:val="0"/>
      <w:marTop w:val="0"/>
      <w:marBottom w:val="0"/>
      <w:divBdr>
        <w:top w:val="none" w:sz="0" w:space="0" w:color="auto"/>
        <w:left w:val="none" w:sz="0" w:space="0" w:color="auto"/>
        <w:bottom w:val="none" w:sz="0" w:space="0" w:color="auto"/>
        <w:right w:val="none" w:sz="0" w:space="0" w:color="auto"/>
      </w:divBdr>
    </w:div>
    <w:div w:id="276765423">
      <w:bodyDiv w:val="1"/>
      <w:marLeft w:val="0"/>
      <w:marRight w:val="0"/>
      <w:marTop w:val="0"/>
      <w:marBottom w:val="0"/>
      <w:divBdr>
        <w:top w:val="none" w:sz="0" w:space="0" w:color="auto"/>
        <w:left w:val="none" w:sz="0" w:space="0" w:color="auto"/>
        <w:bottom w:val="none" w:sz="0" w:space="0" w:color="auto"/>
        <w:right w:val="none" w:sz="0" w:space="0" w:color="auto"/>
      </w:divBdr>
    </w:div>
    <w:div w:id="535969988">
      <w:bodyDiv w:val="1"/>
      <w:marLeft w:val="0"/>
      <w:marRight w:val="0"/>
      <w:marTop w:val="0"/>
      <w:marBottom w:val="0"/>
      <w:divBdr>
        <w:top w:val="none" w:sz="0" w:space="0" w:color="auto"/>
        <w:left w:val="none" w:sz="0" w:space="0" w:color="auto"/>
        <w:bottom w:val="none" w:sz="0" w:space="0" w:color="auto"/>
        <w:right w:val="none" w:sz="0" w:space="0" w:color="auto"/>
      </w:divBdr>
    </w:div>
    <w:div w:id="698162677">
      <w:bodyDiv w:val="1"/>
      <w:marLeft w:val="0"/>
      <w:marRight w:val="0"/>
      <w:marTop w:val="0"/>
      <w:marBottom w:val="0"/>
      <w:divBdr>
        <w:top w:val="none" w:sz="0" w:space="0" w:color="auto"/>
        <w:left w:val="none" w:sz="0" w:space="0" w:color="auto"/>
        <w:bottom w:val="none" w:sz="0" w:space="0" w:color="auto"/>
        <w:right w:val="none" w:sz="0" w:space="0" w:color="auto"/>
      </w:divBdr>
    </w:div>
    <w:div w:id="742335022">
      <w:bodyDiv w:val="1"/>
      <w:marLeft w:val="0"/>
      <w:marRight w:val="0"/>
      <w:marTop w:val="0"/>
      <w:marBottom w:val="0"/>
      <w:divBdr>
        <w:top w:val="none" w:sz="0" w:space="0" w:color="auto"/>
        <w:left w:val="none" w:sz="0" w:space="0" w:color="auto"/>
        <w:bottom w:val="none" w:sz="0" w:space="0" w:color="auto"/>
        <w:right w:val="none" w:sz="0" w:space="0" w:color="auto"/>
      </w:divBdr>
    </w:div>
    <w:div w:id="961108054">
      <w:bodyDiv w:val="1"/>
      <w:marLeft w:val="0"/>
      <w:marRight w:val="0"/>
      <w:marTop w:val="0"/>
      <w:marBottom w:val="0"/>
      <w:divBdr>
        <w:top w:val="none" w:sz="0" w:space="0" w:color="auto"/>
        <w:left w:val="none" w:sz="0" w:space="0" w:color="auto"/>
        <w:bottom w:val="none" w:sz="0" w:space="0" w:color="auto"/>
        <w:right w:val="none" w:sz="0" w:space="0" w:color="auto"/>
      </w:divBdr>
    </w:div>
    <w:div w:id="1417245086">
      <w:bodyDiv w:val="1"/>
      <w:marLeft w:val="0"/>
      <w:marRight w:val="0"/>
      <w:marTop w:val="0"/>
      <w:marBottom w:val="0"/>
      <w:divBdr>
        <w:top w:val="none" w:sz="0" w:space="0" w:color="auto"/>
        <w:left w:val="none" w:sz="0" w:space="0" w:color="auto"/>
        <w:bottom w:val="none" w:sz="0" w:space="0" w:color="auto"/>
        <w:right w:val="none" w:sz="0" w:space="0" w:color="auto"/>
      </w:divBdr>
    </w:div>
    <w:div w:id="1417940115">
      <w:bodyDiv w:val="1"/>
      <w:marLeft w:val="0"/>
      <w:marRight w:val="0"/>
      <w:marTop w:val="0"/>
      <w:marBottom w:val="0"/>
      <w:divBdr>
        <w:top w:val="none" w:sz="0" w:space="0" w:color="auto"/>
        <w:left w:val="none" w:sz="0" w:space="0" w:color="auto"/>
        <w:bottom w:val="none" w:sz="0" w:space="0" w:color="auto"/>
        <w:right w:val="none" w:sz="0" w:space="0" w:color="auto"/>
      </w:divBdr>
    </w:div>
    <w:div w:id="1941184549">
      <w:bodyDiv w:val="1"/>
      <w:marLeft w:val="0"/>
      <w:marRight w:val="0"/>
      <w:marTop w:val="0"/>
      <w:marBottom w:val="0"/>
      <w:divBdr>
        <w:top w:val="none" w:sz="0" w:space="0" w:color="auto"/>
        <w:left w:val="none" w:sz="0" w:space="0" w:color="auto"/>
        <w:bottom w:val="none" w:sz="0" w:space="0" w:color="auto"/>
        <w:right w:val="none" w:sz="0" w:space="0" w:color="auto"/>
      </w:divBdr>
    </w:div>
    <w:div w:id="1980528568">
      <w:bodyDiv w:val="1"/>
      <w:marLeft w:val="0"/>
      <w:marRight w:val="0"/>
      <w:marTop w:val="0"/>
      <w:marBottom w:val="0"/>
      <w:divBdr>
        <w:top w:val="none" w:sz="0" w:space="0" w:color="auto"/>
        <w:left w:val="none" w:sz="0" w:space="0" w:color="auto"/>
        <w:bottom w:val="none" w:sz="0" w:space="0" w:color="auto"/>
        <w:right w:val="none" w:sz="0" w:space="0" w:color="auto"/>
      </w:divBdr>
    </w:div>
    <w:div w:id="211716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uma.edu/remote/care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Domna Giatas</dc:creator>
  <cp:lastModifiedBy>Domna Giatas</cp:lastModifiedBy>
  <cp:revision>4</cp:revision>
  <dcterms:created xsi:type="dcterms:W3CDTF">2021-01-08T19:40:00Z</dcterms:created>
  <dcterms:modified xsi:type="dcterms:W3CDTF">2021-01-08T19:47:00Z</dcterms:modified>
</cp:coreProperties>
</file>